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 Ageing 12+ (gravy)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kistestű idős kutyák számára (1-10 kg) - 12 éves kor felett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Összetétel: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Hús és állati származékok, gabonák, növényifehérje-kivonatok,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olajok és zsírok, növényi eredetű származékok, ásványi anyagok,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élesztők, zöldségek, különféle cukrok.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Adalékanyagok (kilogrammonként):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D3-vitamin: 200 NE, E1 (vas): 6 mg, E2 (jód): 0,24 mg, E4 (réz): 1,9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mg, E5 (mangán): 2 mg, E6 (cink): 20 mg.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Átlagos beltartalom: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Fehérje: 8%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Zsírtartalom: 5,5%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Nyersrost: 1,1%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Nyershamu: 1,3%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NFE: 4,1%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