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E202B">
      <w:pPr>
        <w:spacing w:after="120"/>
        <w:jc w:val="center"/>
      </w:pPr>
      <w:r>
        <w:rPr>
          <w:rFonts w:ascii="Times New Roman" w:hAnsi="Times New Roman" w:eastAsia="黑体"/>
          <w:b/>
          <w:sz w:val="44"/>
        </w:rPr>
        <w:t>基于KG-GCN的燃煤机组</w:t>
      </w:r>
      <w:r>
        <w:rPr>
          <w:rFonts w:ascii="Times New Roman" w:hAnsi="Times New Roman" w:eastAsia="黑体"/>
          <w:b/>
          <w:sz w:val="44"/>
        </w:rPr>
        <w:br w:type="textWrapping"/>
      </w:r>
      <w:r>
        <w:rPr>
          <w:rFonts w:ascii="Times New Roman" w:hAnsi="Times New Roman" w:eastAsia="黑体"/>
          <w:b/>
          <w:sz w:val="44"/>
        </w:rPr>
        <w:t>汽轮机系统故障诊断方法</w:t>
      </w:r>
    </w:p>
    <w:p w14:paraId="7CC29B9E">
      <w:pPr>
        <w:spacing w:after="40"/>
        <w:jc w:val="center"/>
      </w:pPr>
      <w:r>
        <w:rPr>
          <w:rFonts w:ascii="Times New Roman" w:hAnsi="Times New Roman" w:eastAsia="仿宋_GB2312"/>
          <w:sz w:val="28"/>
        </w:rPr>
        <w:t>作者姓名1，作者姓名2</w:t>
      </w:r>
    </w:p>
    <w:p w14:paraId="4DCA810D">
      <w:pPr>
        <w:spacing w:after="120"/>
        <w:jc w:val="center"/>
      </w:pPr>
      <w:r>
        <w:rPr>
          <w:rFonts w:ascii="Times New Roman" w:hAnsi="Times New Roman" w:eastAsia="宋体"/>
          <w:sz w:val="21"/>
        </w:rPr>
        <w:t>（作者单位，城市  邮编）</w:t>
      </w:r>
    </w:p>
    <w:p w14:paraId="6037AD93">
      <w:pPr>
        <w:pStyle w:val="164"/>
        <w:ind w:left="283" w:right="283"/>
      </w:pPr>
      <w:r>
        <w:rPr>
          <w:rFonts w:ascii="Times New Roman" w:hAnsi="Times New Roman" w:eastAsia="宋体"/>
          <w:b w:val="0"/>
          <w:sz w:val="21"/>
        </w:rPr>
        <w:t>摘  要：针对燃煤机组汽轮机系统多设备、多参数关联下的故障辨识问题，提出一种由设备状态监测与知识图谱图卷积网络组成的故障诊断方法。首先依据实际介质流向和设备边界建立汽轮机系统设备级状态模型，采用GRU学习运行边界与关键状态之间的时序映射；随后构建设备—参数—异常—故障知识图谱，将DCS实测值与状态模型输出之间的偏差映射至参数节点，并通过GCN聚合知识拓扑中的关联信息。VHP代表性验证中，GRU在24个状态参数上的宏平均R²为0.9511；KG-GCN对四类诊断场景的Accuracy和Macro-F1分别达到98.57%和98.58%，高于CNN和AE。</w:t>
      </w:r>
    </w:p>
    <w:p w14:paraId="504ACD3C">
      <w:pPr>
        <w:pStyle w:val="164"/>
        <w:ind w:left="283" w:right="283"/>
      </w:pPr>
      <w:r>
        <w:rPr>
          <w:rFonts w:ascii="Times New Roman" w:hAnsi="Times New Roman" w:eastAsia="宋体"/>
          <w:b w:val="0"/>
          <w:sz w:val="21"/>
        </w:rPr>
        <w:t>关键词：汽轮机系统；状态监测；知识图谱；图卷积网络；故障诊断</w:t>
      </w:r>
    </w:p>
    <w:p w14:paraId="7E619D75">
      <w:pPr>
        <w:pStyle w:val="165"/>
        <w:rPr>
          <w:rFonts w:hint="eastAsia" w:eastAsia="黑体"/>
          <w:lang w:val="en-US" w:eastAsia="zh-CN"/>
        </w:rPr>
      </w:pPr>
      <w:r>
        <w:rPr>
          <w:rFonts w:ascii="Times New Roman" w:hAnsi="Times New Roman" w:eastAsia="黑体"/>
          <w:b/>
          <w:sz w:val="24"/>
        </w:rPr>
        <w:t xml:space="preserve">1 </w:t>
      </w:r>
      <w:r>
        <w:rPr>
          <w:rFonts w:hint="eastAsia"/>
          <w:b/>
          <w:sz w:val="24"/>
          <w:lang w:val="en-US" w:eastAsia="zh-CN"/>
        </w:rPr>
        <w:t>引言</w:t>
      </w:r>
    </w:p>
    <w:p w14:paraId="5691DA7D">
      <w:pPr>
        <w:pStyle w:val="164"/>
        <w:rPr>
          <w:rFonts w:hint="eastAsia" w:ascii="Times New Roman" w:hAnsi="Times New Roman" w:eastAsia="宋体"/>
          <w:b w:val="0"/>
          <w:sz w:val="21"/>
        </w:rPr>
      </w:pPr>
      <w:r>
        <w:rPr>
          <w:rFonts w:hint="eastAsia" w:ascii="Times New Roman" w:hAnsi="Times New Roman" w:eastAsia="宋体"/>
          <w:b w:val="0"/>
          <w:sz w:val="21"/>
        </w:rPr>
        <w:t>随着新能源装机规模持续增长，煤电机组的运行方式正由传统的稳定基荷运行逐步向深度调峰、快速变负荷和多工况灵活运行转变。《新一代煤电升级专项行动实施方案（2025—2027年）》进一步提出围绕安全可靠、高效调节和智能运行完善煤电技术指标体系，并对新一代煤电机组提出更深的调峰能力要求[1]。</w:t>
      </w:r>
      <w:r>
        <w:rPr>
          <w:rFonts w:hint="eastAsia"/>
          <w:b w:val="0"/>
          <w:sz w:val="21"/>
          <w:lang w:val="en-US" w:eastAsia="zh-CN"/>
        </w:rPr>
        <w:t>火电</w:t>
      </w:r>
      <w:r>
        <w:rPr>
          <w:rFonts w:hint="eastAsia" w:ascii="Times New Roman" w:hAnsi="Times New Roman" w:eastAsia="宋体"/>
          <w:b w:val="0"/>
          <w:sz w:val="21"/>
        </w:rPr>
        <w:t>机组热力边界和设备状态</w:t>
      </w:r>
      <w:r>
        <w:rPr>
          <w:rFonts w:hint="eastAsia"/>
          <w:b w:val="0"/>
          <w:sz w:val="21"/>
          <w:lang w:val="en-US" w:eastAsia="zh-CN"/>
        </w:rPr>
        <w:t>面对</w:t>
      </w:r>
      <w:r>
        <w:rPr>
          <w:rFonts w:hint="eastAsia" w:ascii="Times New Roman" w:hAnsi="Times New Roman" w:eastAsia="宋体"/>
          <w:b w:val="0"/>
          <w:sz w:val="21"/>
        </w:rPr>
        <w:t>运行范围拓宽及负荷频繁变化</w:t>
      </w:r>
      <w:r>
        <w:rPr>
          <w:rFonts w:hint="eastAsia"/>
          <w:b w:val="0"/>
          <w:sz w:val="21"/>
          <w:lang w:val="en-US" w:eastAsia="zh-CN"/>
        </w:rPr>
        <w:t>的情况变得更加</w:t>
      </w:r>
      <w:r>
        <w:rPr>
          <w:rFonts w:hint="eastAsia" w:ascii="Times New Roman" w:hAnsi="Times New Roman" w:eastAsia="宋体"/>
          <w:b w:val="0"/>
          <w:sz w:val="21"/>
        </w:rPr>
        <w:t>复杂，对关键设备运行状态感知和故障诊断提出了更高要求。汽轮机是燃煤机组完成蒸汽热能向机械能转换的核心动力设备，其本体、回热、给水及凝汽冷端等系统通过主再热蒸汽、各级抽汽、凝结水、给水及疏水等介质相互连接，设备运行状态直接关系到机组安全性与运行经济性。因此，建立能够反映汽轮机系统正常运行状态的监测模型，并在此基础上准确辨识典型故障，对煤电机组安全灵活运行具有重要意义。</w:t>
      </w:r>
    </w:p>
    <w:p w14:paraId="6E55E82E">
      <w:pPr>
        <w:pStyle w:val="164"/>
        <w:rPr>
          <w:rFonts w:hint="eastAsia" w:ascii="Times New Roman" w:hAnsi="Times New Roman" w:eastAsia="宋体"/>
          <w:b w:val="0"/>
          <w:sz w:val="21"/>
        </w:rPr>
      </w:pPr>
      <w:r>
        <w:rPr>
          <w:rFonts w:hint="eastAsia" w:ascii="Times New Roman" w:hAnsi="Times New Roman" w:eastAsia="宋体"/>
          <w:b w:val="0"/>
          <w:sz w:val="21"/>
        </w:rPr>
        <w:t>汽轮机运行状态监测的早期研究主要依据质量守恒、能量守恒及蒸汽热力性质建立汽轮机数学模型。Chaibakhsh和Ghaffari基于能量平衡、热力学状态转换及半经验关系建立汽轮机各级非线性动态模型，并利用现场试验数据辨识模型参数，实现对汽轮机动态状态的模拟与监测[2]。但大型汽轮机直接建立完整解析模型的工作量较大。随着热力系统仿真技术的发展，研究人员进一步借助模块化仿真平台建立整机模型。Zhang等依据实际汽轮机系统组成，在MATLAB/Simulink中将汽轮机级组、抽汽管路、回热加热器、凝汽器等划分为相互连接的设备子模型，建立了600 MW机组全工况仿真模型，并利用实际运行数据验证了不同负荷下关键参数的预测能力[3]；近年来也有研究利用专业热力计算软件将汽轮机、回热和冷端设备统一纳入数字孪生模型，实现运行状态及性能在线跟踪[4]。另一方面，随着DCS积累大量连续运行数据以及深度学习研究的不断推进，数据驱动建模逐渐应用于热力设备状态监测。与依赖完整设备结构和设计参数的机理模型不同，数据驱动方法可以直接从历史运行数据中学习输入边界与状态参数之间的非线性关系。Fast和Palme利用电厂实际运行数据建立人工神经网络模型，实现热电联产机组主要设备状态监测[5]；Guo等进一步依据全工况运行数据建立汽轮机回热系统关键设备模型，用于在线性能监测[6]。</w:t>
      </w:r>
    </w:p>
    <w:p w14:paraId="2CA65A6A">
      <w:pPr>
        <w:pStyle w:val="164"/>
        <w:rPr>
          <w:rFonts w:hint="eastAsia" w:ascii="Times New Roman" w:hAnsi="Times New Roman" w:eastAsia="宋体"/>
          <w:b w:val="0"/>
          <w:sz w:val="21"/>
        </w:rPr>
      </w:pPr>
      <w:r>
        <w:rPr>
          <w:rFonts w:hint="eastAsia" w:ascii="Times New Roman" w:hAnsi="Times New Roman" w:eastAsia="宋体"/>
          <w:b w:val="0"/>
          <w:sz w:val="21"/>
        </w:rPr>
        <w:t>汽轮机故障诊断方法经历了由机理模型诊断向数据驱动诊断，近年来又开始引入结构信息。基于机理的诊断方法通常首先建立正常热力过程模型，再根据故障引起的质量流量、能量传递、通流能力及设备效率等变化构造诊断判据。Wang等基于热经济学结构理论建立600 MW燃煤机组热力系统诊断模型，通过故障仿真研究单故障及多故障条件下各设备异常的传播与分离[7]；Yang等针对630 MW超临界汽轮机通流部分结垢，将热经济诊断模型与等效通流面积分析相结合，对故障位置进行定量诊断，其结果与机组揭缸检查情况基本一致[8]。此外，热力系统仿真软件也被直接用于产生和分析故障工况，例如基于经验证的EBSILON模型可以通过改变汽轮机级效率、阀门泄漏以及泵运行参数等方式模拟典型故障，并利用过程变量变化开展故障检测与隔离研究[9]。机理诊断方法物理意义明确，但依赖于较完整的设备模型和故障机理描述。SVM、模糊推理、人工神经网络和深度学习等机器学习方法的发展，使直接从运行数据中学习多参数与故障类别之间的映射关系成为可能，这些方法随后被逐步引入汽轮机故障诊断。Salahshoor等通过融合SVM与ANFIS分类器实现工业汽轮机多类故障检测与诊断[10]。然而传统机器学习</w:t>
      </w:r>
      <w:r>
        <w:rPr>
          <w:rFonts w:hint="eastAsia"/>
          <w:b w:val="0"/>
          <w:sz w:val="21"/>
          <w:lang w:val="en-US" w:eastAsia="zh-CN"/>
        </w:rPr>
        <w:t>和</w:t>
      </w:r>
      <w:r>
        <w:rPr>
          <w:rFonts w:hint="eastAsia" w:ascii="Times New Roman" w:hAnsi="Times New Roman" w:eastAsia="宋体"/>
          <w:b w:val="0"/>
          <w:sz w:val="21"/>
        </w:rPr>
        <w:t>一般深度学习方法，多数仍将多个测点组织为规则向量或二维矩阵，其参数关联主要由数据统计特征隐式学习，而汽轮机系统本身具有明确的设备连接、介质流向和热力接口，这种结构信息没有得到充分利用。针对这一特点，图学习开始被引入工业过程诊断。Zhang和Hu依据汽轮机运行机理分别构建过程拓扑图和故障拓扑图，利用图神经网络开展故障传播推断[11]；Wu和Zhao将化工过程设备及变量间的工艺连接显式转化为图结构，提出过程拓扑卷积网络进行故障诊断[12]；Jia等进一步采用拓扑信息引导GCN进行复杂过程故障识别[13]。这些研究说明，将实际系统结构作为图网络的信息传播约束，能够使模型在利用测点数值变化的同时进一步利用不同参数之间的工程关联。</w:t>
      </w:r>
    </w:p>
    <w:p w14:paraId="5CF19E14">
      <w:pPr>
        <w:pStyle w:val="164"/>
        <w:rPr>
          <w:rFonts w:hint="eastAsia" w:ascii="Times New Roman" w:hAnsi="Times New Roman" w:eastAsia="宋体"/>
          <w:b w:val="0"/>
          <w:sz w:val="21"/>
        </w:rPr>
      </w:pPr>
      <w:r>
        <w:rPr>
          <w:rFonts w:hint="eastAsia" w:ascii="Times New Roman" w:hAnsi="Times New Roman" w:eastAsia="宋体"/>
          <w:b w:val="0"/>
          <w:sz w:val="21"/>
        </w:rPr>
        <w:t>基于上述研究，本文提出一种面向燃煤机组汽轮机系统的知识图谱—图卷积网络（Knowledge Graph–Graph Convolutional Network，KG-GCN）故障诊断方法，旨在提高汽轮机故障诊断的准确性和可靠性。该方法通过融合动态运行数据与静态工程知识，构建设备级状态监测模型和故障知识图谱，并利用图卷积网络对节点状态进行特征聚合，实现典型汽轮机故障分类。本文首先根据汽轮机本体、回热、给水及冷端系统的实际介质流向和设备边界建立设备级状态监测模型，采用GRU学习连续DCS运行序列中运行边界与关键状态参数之间的动态映射关系。随后，从汽轮机实际运行场景出发，综合机组DCS测点和设备输入输出信息，从设计说明、运行规程、故障与检修技术资料以及相关标准和文献中提取设备、参数、典型故障及异常特征，经知识校核与实体语义对齐后构建汽轮机系统故障知识图谱。在此基础上，将实际运行数据与状态监测模型所得偏差映射至图谱中对应参数节点，利用知识图谱提供的设备及参数结构关联，通过图卷积网络（GCN）对节点状态进行逐层特征聚合，在保留参数节点物理身份的同时完成典型汽轮机故障分类。最后通过故障诊断算例验证所提方法的有效性。</w:t>
      </w:r>
    </w:p>
    <w:p w14:paraId="13C87AF5">
      <w:pPr>
        <w:pStyle w:val="164"/>
        <w:ind w:left="0" w:leftChars="0" w:firstLine="0" w:firstLineChars="0"/>
        <w:rPr>
          <w:rFonts w:hint="eastAsia" w:ascii="Times New Roman" w:hAnsi="Times New Roman" w:eastAsia="宋体"/>
          <w:b w:val="0"/>
          <w:sz w:val="21"/>
        </w:rPr>
      </w:pPr>
      <w:r>
        <w:rPr>
          <w:rFonts w:hint="eastAsia" w:ascii="Times New Roman" w:hAnsi="Times New Roman" w:eastAsia="宋体"/>
          <w:b w:val="0"/>
          <w:sz w:val="21"/>
        </w:rPr>
        <w:object>
          <v:shape id="_x0000_i1026" o:spt="75" type="#_x0000_t75" style="height:172.75pt;width:486pt;" o:ole="t" filled="f" o:preferrelative="t" stroked="f" coordsize="21600,21600">
            <v:path/>
            <v:fill on="f" focussize="0,0"/>
            <v:stroke on="f"/>
            <v:imagedata r:id="rId7" o:title=""/>
            <o:lock v:ext="edit" aspectratio="f"/>
            <w10:wrap type="none"/>
            <w10:anchorlock/>
          </v:shape>
          <o:OLEObject Type="Embed" ProgID="Visio.Drawing.15" ShapeID="_x0000_i1026" DrawAspect="Content" ObjectID="_1468075725" r:id="rId6">
            <o:LockedField>false</o:LockedField>
          </o:OLEObject>
        </w:object>
      </w:r>
    </w:p>
    <w:p w14:paraId="617A213C">
      <w:pPr>
        <w:keepNext/>
        <w:spacing w:before="80" w:after="40"/>
        <w:jc w:val="center"/>
        <w:rPr>
          <w:rFonts w:hint="default" w:eastAsia="黑体"/>
          <w:lang w:val="en-US" w:eastAsia="zh-CN"/>
        </w:rPr>
      </w:pPr>
      <w:r>
        <w:rPr>
          <w:rFonts w:hint="eastAsia" w:ascii="Times New Roman" w:hAnsi="Times New Roman" w:eastAsia="黑体"/>
          <w:b/>
          <w:sz w:val="18"/>
          <w:lang w:val="en-US" w:eastAsia="zh-CN"/>
        </w:rPr>
        <w:t>图</w:t>
      </w:r>
      <w:r>
        <w:rPr>
          <w:rFonts w:ascii="Times New Roman" w:hAnsi="Times New Roman" w:eastAsia="黑体"/>
          <w:b/>
          <w:sz w:val="18"/>
        </w:rPr>
        <w:t>1  汽轮机系统</w:t>
      </w:r>
      <w:r>
        <w:rPr>
          <w:rFonts w:hint="eastAsia" w:ascii="Times New Roman" w:hAnsi="Times New Roman" w:eastAsia="黑体"/>
          <w:b/>
          <w:sz w:val="18"/>
          <w:lang w:val="en-US" w:eastAsia="zh-CN"/>
        </w:rPr>
        <w:t>故障诊断总体框架</w:t>
      </w:r>
    </w:p>
    <w:p w14:paraId="550F881D">
      <w:pPr>
        <w:pStyle w:val="164"/>
        <w:ind w:left="0" w:leftChars="0" w:firstLine="0" w:firstLineChars="0"/>
        <w:rPr>
          <w:rFonts w:hint="eastAsia" w:ascii="Times New Roman" w:hAnsi="Times New Roman" w:eastAsia="宋体"/>
          <w:b w:val="0"/>
          <w:sz w:val="21"/>
        </w:rPr>
      </w:pPr>
    </w:p>
    <w:p w14:paraId="2599DBA0">
      <w:pPr>
        <w:pStyle w:val="165"/>
      </w:pPr>
      <w:r>
        <w:rPr>
          <w:rFonts w:ascii="Times New Roman" w:hAnsi="Times New Roman" w:eastAsia="黑体"/>
          <w:b/>
          <w:sz w:val="24"/>
        </w:rPr>
        <w:t>2 汽轮机系统状态监测模型</w:t>
      </w:r>
    </w:p>
    <w:p w14:paraId="2C2F7ACC">
      <w:pPr>
        <w:pStyle w:val="166"/>
      </w:pPr>
      <w:r>
        <w:rPr>
          <w:rFonts w:ascii="Times New Roman" w:hAnsi="Times New Roman" w:eastAsia="黑体"/>
          <w:b/>
          <w:sz w:val="21"/>
        </w:rPr>
        <w:t>2.1 汽轮机系统及设备级建模</w:t>
      </w:r>
    </w:p>
    <w:p w14:paraId="0D0741EC">
      <w:pPr>
        <w:pStyle w:val="164"/>
        <w:rPr>
          <w:rFonts w:ascii="Times New Roman" w:hAnsi="Times New Roman" w:eastAsia="宋体"/>
          <w:b w:val="0"/>
          <w:sz w:val="21"/>
        </w:rPr>
      </w:pPr>
      <w:r>
        <w:rPr>
          <w:rFonts w:ascii="Times New Roman" w:hAnsi="Times New Roman" w:eastAsia="宋体"/>
          <w:b w:val="0"/>
          <w:sz w:val="21"/>
        </w:rPr>
        <w:t>本文研究对象为某大型二次再热燃煤机组汽轮机热力系统。按照功能与介质联系，可将状态监测对象概括为汽轮机本体、回热系统、给水及驱动小机相关系统和凝汽冷端系统。汽轮机本体由超高压缸、高压缸、中压缸和低压缸等通流部分组成，主蒸汽依次经过各级汽缸膨胀做功，并通过一次、二次再热过程连接相邻汽缸；各级抽汽进入高、低压加热器和除氧器，对凝结水及给水进行逐级回热；给水侧通过泵组和加热设备维持锅炉给水所需的流量、压力及温度；低压缸排汽进入凝汽器，循环水和真空系统共同决定冷端压力边界。上述子系统通过蒸汽、抽汽、疏水、凝结水和给水形成连续的物质与能量耦合。李萍的汽轮机系统建模研究同样采用“本体—冷端—回热—给水”分系统建模并通过参数关系联结的思路[2]。</w:t>
      </w:r>
    </w:p>
    <w:p w14:paraId="433EEB07">
      <w:pPr>
        <w:pStyle w:val="164"/>
        <w:ind w:left="0" w:leftChars="0" w:firstLine="0" w:firstLineChars="0"/>
      </w:pPr>
      <w:bookmarkStart w:id="0" w:name="_GoBack"/>
      <w:r>
        <w:drawing>
          <wp:inline distT="0" distB="0" distL="114300" distR="114300">
            <wp:extent cx="6181725" cy="2777490"/>
            <wp:effectExtent l="0" t="0" r="3175" b="381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a:stretch>
                      <a:fillRect/>
                    </a:stretch>
                  </pic:blipFill>
                  <pic:spPr>
                    <a:xfrm>
                      <a:off x="0" y="0"/>
                      <a:ext cx="6181725" cy="2777490"/>
                    </a:xfrm>
                    <a:prstGeom prst="rect">
                      <a:avLst/>
                    </a:prstGeom>
                    <a:noFill/>
                    <a:ln>
                      <a:noFill/>
                    </a:ln>
                  </pic:spPr>
                </pic:pic>
              </a:graphicData>
            </a:graphic>
          </wp:inline>
        </w:drawing>
      </w:r>
      <w:bookmarkEnd w:id="0"/>
    </w:p>
    <w:p w14:paraId="274CB290">
      <w:pPr>
        <w:keepNext/>
        <w:spacing w:before="80" w:after="40"/>
        <w:jc w:val="center"/>
      </w:pPr>
      <w:r>
        <w:rPr>
          <w:rFonts w:hint="eastAsia" w:ascii="Times New Roman" w:hAnsi="Times New Roman" w:eastAsia="黑体"/>
          <w:b/>
          <w:sz w:val="18"/>
          <w:lang w:val="en-US" w:eastAsia="zh-CN"/>
        </w:rPr>
        <w:t>图2</w:t>
      </w:r>
      <w:r>
        <w:rPr>
          <w:rFonts w:ascii="Times New Roman" w:hAnsi="Times New Roman" w:eastAsia="黑体"/>
          <w:b/>
          <w:sz w:val="18"/>
        </w:rPr>
        <w:t xml:space="preserve"> 汽轮机系统</w:t>
      </w:r>
      <w:r>
        <w:rPr>
          <w:rFonts w:hint="eastAsia" w:ascii="Times New Roman" w:hAnsi="Times New Roman" w:eastAsia="黑体"/>
          <w:b/>
          <w:sz w:val="18"/>
          <w:lang w:val="en-US" w:eastAsia="zh-CN"/>
        </w:rPr>
        <w:t>原理图</w:t>
      </w:r>
    </w:p>
    <w:p w14:paraId="746A10D7">
      <w:pPr>
        <w:pStyle w:val="164"/>
      </w:pPr>
      <w:r>
        <w:rPr>
          <w:rFonts w:ascii="Times New Roman" w:hAnsi="Times New Roman" w:eastAsia="宋体"/>
          <w:b w:val="0"/>
          <w:sz w:val="21"/>
        </w:rPr>
        <w:t>针对实际DCS测点分散于不同设备和系统画面的特点，本文不建立单一的全系统黑箱模型，而是按照介质流向和设备物理边界划分状态监测对象。对第k个设备，输入由本级操作量与直接作用于设备的热力边界组成，输出为反映设备内部、出口及关键接口状态的压力、温度、流量、液位等可观测量。为描述不同来源的边界信息，本文将输入划分为操作变量U、上游直接边界B1、相邻系统或下游耦合边界B2以及机组公共工况量B3，模型输出记为Y。其统一形式为</w:t>
      </w:r>
    </w:p>
    <w:p w14:paraId="2EB9F2DD">
      <w:pPr>
        <w:spacing w:before="40" w:after="40"/>
        <w:jc w:val="center"/>
      </w:pPr>
      <m:oMathPara>
        <m:oMath>
          <m:r>
            <m:rPr>
              <m:sty m:val="p"/>
            </m:rPr>
            <w:rPr>
              <w:rFonts w:ascii="Cambria Math" w:hAnsi="Cambria Math" w:eastAsia="Cambria Math"/>
              <w:sz w:val="21"/>
            </w:rPr>
            <m:t>ŷₖ(t)=fₖ(Uₖ(t−L+1:t),B₁,ₖ(t−L+1:t),B₂,ₖ(t−L+1:t),B₃,ₖ(t−L+1:t))</m:t>
          </m:r>
        </m:oMath>
      </m:oMathPara>
    </w:p>
    <w:p w14:paraId="7C3F5CFA">
      <w:pPr>
        <w:pStyle w:val="164"/>
      </w:pPr>
      <w:r>
        <w:rPr>
          <w:rFonts w:ascii="Times New Roman" w:hAnsi="Times New Roman" w:eastAsia="宋体"/>
          <w:b w:val="0"/>
          <w:sz w:val="21"/>
        </w:rPr>
        <w:t>式中，L为历史时间窗口长度，fₖ(·)为设备状态监测模型，ŷₖ(t)为t时刻设备状态预测值。各设备模型直接读取相应DCS实测边界，不采用上一级模型预测值继续驱动下一级模型，以避免状态预测误差沿热力流程逐级传递。当前建模台账已覆盖汽轮机主通流及再热接口，并在回热系统中形成除氧器、4台高压加热器和5台低压加热器等子模型，在冷端形成2台凝汽器和主机真空子模型，同时建立给水泵汽轮机供汽/通流模型。受小论文篇幅限制，本文仅列出系统级建模范围，后续用少量VHP状态作为代表性结果展示。</w:t>
      </w:r>
    </w:p>
    <w:p w14:paraId="1DABD93C">
      <w:pPr>
        <w:keepNext/>
        <w:spacing w:before="80" w:after="40"/>
        <w:jc w:val="center"/>
      </w:pPr>
      <w:r>
        <w:rPr>
          <w:rFonts w:ascii="Times New Roman" w:hAnsi="Times New Roman" w:eastAsia="黑体"/>
          <w:b/>
          <w:sz w:val="18"/>
        </w:rPr>
        <w:t>表1  汽轮机系统状态监测主要建模对象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928"/>
        <w:gridCol w:w="2835"/>
        <w:gridCol w:w="2835"/>
      </w:tblGrid>
      <w:tr w14:paraId="79E8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7E6E6"/>
            <w:tcMar>
              <w:top w:w="60" w:type="dxa"/>
              <w:left w:w="80" w:type="dxa"/>
              <w:bottom w:w="60" w:type="dxa"/>
              <w:right w:w="80" w:type="dxa"/>
            </w:tcMar>
            <w:vAlign w:val="center"/>
          </w:tcPr>
          <w:p w14:paraId="129021BA">
            <w:pPr>
              <w:spacing w:after="0" w:line="240" w:lineRule="auto"/>
              <w:jc w:val="center"/>
            </w:pPr>
            <w:r>
              <w:rPr>
                <w:rFonts w:ascii="Times New Roman" w:hAnsi="Times New Roman" w:eastAsia="黑体"/>
                <w:b/>
                <w:sz w:val="17"/>
              </w:rPr>
              <w:t>系统</w:t>
            </w:r>
          </w:p>
        </w:tc>
        <w:tc>
          <w:tcPr>
            <w:tcW w:w="1928" w:type="dxa"/>
            <w:shd w:val="clear" w:color="auto" w:fill="E7E6E6"/>
            <w:tcMar>
              <w:top w:w="60" w:type="dxa"/>
              <w:left w:w="80" w:type="dxa"/>
              <w:bottom w:w="60" w:type="dxa"/>
              <w:right w:w="80" w:type="dxa"/>
            </w:tcMar>
            <w:vAlign w:val="center"/>
          </w:tcPr>
          <w:p w14:paraId="013D44B6">
            <w:pPr>
              <w:spacing w:after="0" w:line="240" w:lineRule="auto"/>
              <w:jc w:val="center"/>
            </w:pPr>
            <w:r>
              <w:rPr>
                <w:rFonts w:ascii="Times New Roman" w:hAnsi="Times New Roman" w:eastAsia="黑体"/>
                <w:b/>
                <w:sz w:val="17"/>
              </w:rPr>
              <w:t>代表建模对象</w:t>
            </w:r>
          </w:p>
        </w:tc>
        <w:tc>
          <w:tcPr>
            <w:tcW w:w="2835" w:type="dxa"/>
            <w:shd w:val="clear" w:color="auto" w:fill="E7E6E6"/>
            <w:tcMar>
              <w:top w:w="60" w:type="dxa"/>
              <w:left w:w="80" w:type="dxa"/>
              <w:bottom w:w="60" w:type="dxa"/>
              <w:right w:w="80" w:type="dxa"/>
            </w:tcMar>
            <w:vAlign w:val="center"/>
          </w:tcPr>
          <w:p w14:paraId="2183042B">
            <w:pPr>
              <w:spacing w:after="0" w:line="240" w:lineRule="auto"/>
              <w:jc w:val="center"/>
            </w:pPr>
            <w:r>
              <w:rPr>
                <w:rFonts w:ascii="Times New Roman" w:hAnsi="Times New Roman" w:eastAsia="黑体"/>
                <w:b/>
                <w:sz w:val="17"/>
              </w:rPr>
              <w:t>主要边界信息</w:t>
            </w:r>
          </w:p>
        </w:tc>
        <w:tc>
          <w:tcPr>
            <w:tcW w:w="2835" w:type="dxa"/>
            <w:shd w:val="clear" w:color="auto" w:fill="E7E6E6"/>
            <w:tcMar>
              <w:top w:w="60" w:type="dxa"/>
              <w:left w:w="80" w:type="dxa"/>
              <w:bottom w:w="60" w:type="dxa"/>
              <w:right w:w="80" w:type="dxa"/>
            </w:tcMar>
            <w:vAlign w:val="center"/>
          </w:tcPr>
          <w:p w14:paraId="4A449EAF">
            <w:pPr>
              <w:spacing w:after="0" w:line="240" w:lineRule="auto"/>
              <w:jc w:val="center"/>
            </w:pPr>
            <w:r>
              <w:rPr>
                <w:rFonts w:ascii="Times New Roman" w:hAnsi="Times New Roman" w:eastAsia="黑体"/>
                <w:b/>
                <w:sz w:val="17"/>
              </w:rPr>
              <w:t>主要预测状态</w:t>
            </w:r>
          </w:p>
        </w:tc>
      </w:tr>
      <w:tr w14:paraId="5781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60" w:type="dxa"/>
              <w:left w:w="80" w:type="dxa"/>
              <w:bottom w:w="60" w:type="dxa"/>
              <w:right w:w="80" w:type="dxa"/>
            </w:tcMar>
            <w:vAlign w:val="center"/>
          </w:tcPr>
          <w:p w14:paraId="3B5B52D0">
            <w:pPr>
              <w:spacing w:after="0" w:line="240" w:lineRule="auto"/>
              <w:jc w:val="center"/>
            </w:pPr>
            <w:r>
              <w:rPr>
                <w:rFonts w:ascii="Times New Roman" w:hAnsi="Times New Roman" w:eastAsia="宋体"/>
                <w:sz w:val="17"/>
              </w:rPr>
              <w:t>汽轮机本体</w:t>
            </w:r>
          </w:p>
        </w:tc>
        <w:tc>
          <w:tcPr>
            <w:tcW w:w="1928" w:type="dxa"/>
            <w:tcMar>
              <w:top w:w="60" w:type="dxa"/>
              <w:left w:w="80" w:type="dxa"/>
              <w:bottom w:w="60" w:type="dxa"/>
              <w:right w:w="80" w:type="dxa"/>
            </w:tcMar>
            <w:vAlign w:val="center"/>
          </w:tcPr>
          <w:p w14:paraId="5AD0E345">
            <w:pPr>
              <w:spacing w:after="0" w:line="240" w:lineRule="auto"/>
              <w:jc w:val="left"/>
            </w:pPr>
            <w:r>
              <w:rPr>
                <w:rFonts w:ascii="Times New Roman" w:hAnsi="Times New Roman" w:eastAsia="宋体"/>
                <w:sz w:val="17"/>
              </w:rPr>
              <w:t>VHP、HP、IP、LP及再热接口</w:t>
            </w:r>
          </w:p>
        </w:tc>
        <w:tc>
          <w:tcPr>
            <w:tcW w:w="2835" w:type="dxa"/>
            <w:tcMar>
              <w:top w:w="60" w:type="dxa"/>
              <w:left w:w="80" w:type="dxa"/>
              <w:bottom w:w="60" w:type="dxa"/>
              <w:right w:w="80" w:type="dxa"/>
            </w:tcMar>
            <w:vAlign w:val="center"/>
          </w:tcPr>
          <w:p w14:paraId="2B1F4A61">
            <w:pPr>
              <w:spacing w:after="0" w:line="240" w:lineRule="auto"/>
              <w:jc w:val="left"/>
            </w:pPr>
            <w:r>
              <w:rPr>
                <w:rFonts w:ascii="Times New Roman" w:hAnsi="Times New Roman" w:eastAsia="宋体"/>
                <w:sz w:val="17"/>
              </w:rPr>
              <w:t>主/再热蒸汽、配汽操作、抽汽与冷端边界</w:t>
            </w:r>
          </w:p>
        </w:tc>
        <w:tc>
          <w:tcPr>
            <w:tcW w:w="2835" w:type="dxa"/>
            <w:tcMar>
              <w:top w:w="60" w:type="dxa"/>
              <w:left w:w="80" w:type="dxa"/>
              <w:bottom w:w="60" w:type="dxa"/>
              <w:right w:w="80" w:type="dxa"/>
            </w:tcMar>
            <w:vAlign w:val="center"/>
          </w:tcPr>
          <w:p w14:paraId="27427264">
            <w:pPr>
              <w:spacing w:after="0" w:line="240" w:lineRule="auto"/>
              <w:jc w:val="left"/>
            </w:pPr>
            <w:r>
              <w:rPr>
                <w:rFonts w:ascii="Times New Roman" w:hAnsi="Times New Roman" w:eastAsia="宋体"/>
                <w:sz w:val="17"/>
              </w:rPr>
              <w:t>汽缸本体压力/温度、排汽及抽汽接口状态</w:t>
            </w:r>
          </w:p>
        </w:tc>
      </w:tr>
      <w:tr w14:paraId="58AA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60" w:type="dxa"/>
              <w:left w:w="80" w:type="dxa"/>
              <w:bottom w:w="60" w:type="dxa"/>
              <w:right w:w="80" w:type="dxa"/>
            </w:tcMar>
            <w:vAlign w:val="center"/>
          </w:tcPr>
          <w:p w14:paraId="5D6ACDC5">
            <w:pPr>
              <w:spacing w:after="0" w:line="240" w:lineRule="auto"/>
              <w:jc w:val="center"/>
            </w:pPr>
            <w:r>
              <w:rPr>
                <w:rFonts w:ascii="Times New Roman" w:hAnsi="Times New Roman" w:eastAsia="宋体"/>
                <w:sz w:val="17"/>
              </w:rPr>
              <w:t>回热系统</w:t>
            </w:r>
          </w:p>
        </w:tc>
        <w:tc>
          <w:tcPr>
            <w:tcW w:w="1928" w:type="dxa"/>
            <w:tcMar>
              <w:top w:w="60" w:type="dxa"/>
              <w:left w:w="80" w:type="dxa"/>
              <w:bottom w:w="60" w:type="dxa"/>
              <w:right w:w="80" w:type="dxa"/>
            </w:tcMar>
            <w:vAlign w:val="center"/>
          </w:tcPr>
          <w:p w14:paraId="59F32B25">
            <w:pPr>
              <w:spacing w:after="0" w:line="240" w:lineRule="auto"/>
              <w:jc w:val="left"/>
            </w:pPr>
            <w:r>
              <w:rPr>
                <w:rFonts w:ascii="Times New Roman" w:hAnsi="Times New Roman" w:eastAsia="宋体"/>
                <w:sz w:val="17"/>
              </w:rPr>
              <w:t>DEA、H1-H4、L6-L10</w:t>
            </w:r>
          </w:p>
        </w:tc>
        <w:tc>
          <w:tcPr>
            <w:tcW w:w="2835" w:type="dxa"/>
            <w:tcMar>
              <w:top w:w="60" w:type="dxa"/>
              <w:left w:w="80" w:type="dxa"/>
              <w:bottom w:w="60" w:type="dxa"/>
              <w:right w:w="80" w:type="dxa"/>
            </w:tcMar>
            <w:vAlign w:val="center"/>
          </w:tcPr>
          <w:p w14:paraId="1225E5CE">
            <w:pPr>
              <w:spacing w:after="0" w:line="240" w:lineRule="auto"/>
              <w:jc w:val="left"/>
            </w:pPr>
            <w:r>
              <w:rPr>
                <w:rFonts w:ascii="Times New Roman" w:hAnsi="Times New Roman" w:eastAsia="宋体"/>
                <w:sz w:val="17"/>
              </w:rPr>
              <w:t>各级抽汽、凝结水/给水、级联疏水及调节阀</w:t>
            </w:r>
          </w:p>
        </w:tc>
        <w:tc>
          <w:tcPr>
            <w:tcW w:w="2835" w:type="dxa"/>
            <w:tcMar>
              <w:top w:w="60" w:type="dxa"/>
              <w:left w:w="80" w:type="dxa"/>
              <w:bottom w:w="60" w:type="dxa"/>
              <w:right w:w="80" w:type="dxa"/>
            </w:tcMar>
            <w:vAlign w:val="center"/>
          </w:tcPr>
          <w:p w14:paraId="05AF177C">
            <w:pPr>
              <w:spacing w:after="0" w:line="240" w:lineRule="auto"/>
              <w:jc w:val="left"/>
            </w:pPr>
            <w:r>
              <w:rPr>
                <w:rFonts w:ascii="Times New Roman" w:hAnsi="Times New Roman" w:eastAsia="宋体"/>
                <w:sz w:val="17"/>
              </w:rPr>
              <w:t>加热器压力、液位、疏水温度、进出口水温</w:t>
            </w:r>
          </w:p>
        </w:tc>
      </w:tr>
      <w:tr w14:paraId="175A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60" w:type="dxa"/>
              <w:left w:w="80" w:type="dxa"/>
              <w:bottom w:w="60" w:type="dxa"/>
              <w:right w:w="80" w:type="dxa"/>
            </w:tcMar>
            <w:vAlign w:val="center"/>
          </w:tcPr>
          <w:p w14:paraId="3D30AD2A">
            <w:pPr>
              <w:spacing w:after="0" w:line="240" w:lineRule="auto"/>
              <w:jc w:val="center"/>
            </w:pPr>
            <w:r>
              <w:rPr>
                <w:rFonts w:ascii="Times New Roman" w:hAnsi="Times New Roman" w:eastAsia="宋体"/>
                <w:sz w:val="17"/>
              </w:rPr>
              <w:t>冷端系统</w:t>
            </w:r>
          </w:p>
        </w:tc>
        <w:tc>
          <w:tcPr>
            <w:tcW w:w="1928" w:type="dxa"/>
            <w:tcMar>
              <w:top w:w="60" w:type="dxa"/>
              <w:left w:w="80" w:type="dxa"/>
              <w:bottom w:w="60" w:type="dxa"/>
              <w:right w:w="80" w:type="dxa"/>
            </w:tcMar>
            <w:vAlign w:val="center"/>
          </w:tcPr>
          <w:p w14:paraId="46364F71">
            <w:pPr>
              <w:spacing w:after="0" w:line="240" w:lineRule="auto"/>
              <w:jc w:val="left"/>
            </w:pPr>
            <w:r>
              <w:rPr>
                <w:rFonts w:ascii="Times New Roman" w:hAnsi="Times New Roman" w:eastAsia="宋体"/>
                <w:sz w:val="17"/>
              </w:rPr>
              <w:t>CND1、CND2、VAC</w:t>
            </w:r>
          </w:p>
        </w:tc>
        <w:tc>
          <w:tcPr>
            <w:tcW w:w="2835" w:type="dxa"/>
            <w:tcMar>
              <w:top w:w="60" w:type="dxa"/>
              <w:left w:w="80" w:type="dxa"/>
              <w:bottom w:w="60" w:type="dxa"/>
              <w:right w:w="80" w:type="dxa"/>
            </w:tcMar>
            <w:vAlign w:val="center"/>
          </w:tcPr>
          <w:p w14:paraId="28F64216">
            <w:pPr>
              <w:spacing w:after="0" w:line="240" w:lineRule="auto"/>
              <w:jc w:val="left"/>
            </w:pPr>
            <w:r>
              <w:rPr>
                <w:rFonts w:ascii="Times New Roman" w:hAnsi="Times New Roman" w:eastAsia="宋体"/>
                <w:sz w:val="17"/>
              </w:rPr>
              <w:t>LP排汽、循环水、真空泵及低旁等边界</w:t>
            </w:r>
          </w:p>
        </w:tc>
        <w:tc>
          <w:tcPr>
            <w:tcW w:w="2835" w:type="dxa"/>
            <w:tcMar>
              <w:top w:w="60" w:type="dxa"/>
              <w:left w:w="80" w:type="dxa"/>
              <w:bottom w:w="60" w:type="dxa"/>
              <w:right w:w="80" w:type="dxa"/>
            </w:tcMar>
            <w:vAlign w:val="center"/>
          </w:tcPr>
          <w:p w14:paraId="6D5CC1CD">
            <w:pPr>
              <w:spacing w:after="0" w:line="240" w:lineRule="auto"/>
              <w:jc w:val="left"/>
            </w:pPr>
            <w:r>
              <w:rPr>
                <w:rFonts w:ascii="Times New Roman" w:hAnsi="Times New Roman" w:eastAsia="宋体"/>
                <w:sz w:val="17"/>
              </w:rPr>
              <w:t>凝汽器压力/温度、热井液位及真空设备状态</w:t>
            </w:r>
          </w:p>
        </w:tc>
      </w:tr>
      <w:tr w14:paraId="40A1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60" w:type="dxa"/>
              <w:left w:w="80" w:type="dxa"/>
              <w:bottom w:w="60" w:type="dxa"/>
              <w:right w:w="80" w:type="dxa"/>
            </w:tcMar>
            <w:vAlign w:val="center"/>
          </w:tcPr>
          <w:p w14:paraId="6947C4AE">
            <w:pPr>
              <w:spacing w:after="0" w:line="240" w:lineRule="auto"/>
              <w:jc w:val="center"/>
            </w:pPr>
            <w:r>
              <w:rPr>
                <w:rFonts w:ascii="Times New Roman" w:hAnsi="Times New Roman" w:eastAsia="宋体"/>
                <w:sz w:val="17"/>
              </w:rPr>
              <w:t>给水/小机相关</w:t>
            </w:r>
          </w:p>
        </w:tc>
        <w:tc>
          <w:tcPr>
            <w:tcW w:w="1928" w:type="dxa"/>
            <w:tcMar>
              <w:top w:w="60" w:type="dxa"/>
              <w:left w:w="80" w:type="dxa"/>
              <w:bottom w:w="60" w:type="dxa"/>
              <w:right w:w="80" w:type="dxa"/>
            </w:tcMar>
            <w:vAlign w:val="center"/>
          </w:tcPr>
          <w:p w14:paraId="58CDE08B">
            <w:pPr>
              <w:spacing w:after="0" w:line="240" w:lineRule="auto"/>
              <w:jc w:val="left"/>
            </w:pPr>
            <w:r>
              <w:rPr>
                <w:rFonts w:ascii="Times New Roman" w:hAnsi="Times New Roman" w:eastAsia="宋体"/>
                <w:sz w:val="17"/>
              </w:rPr>
              <w:t>BFPT_STM等</w:t>
            </w:r>
          </w:p>
        </w:tc>
        <w:tc>
          <w:tcPr>
            <w:tcW w:w="2835" w:type="dxa"/>
            <w:tcMar>
              <w:top w:w="60" w:type="dxa"/>
              <w:left w:w="80" w:type="dxa"/>
              <w:bottom w:w="60" w:type="dxa"/>
              <w:right w:w="80" w:type="dxa"/>
            </w:tcMar>
            <w:vAlign w:val="center"/>
          </w:tcPr>
          <w:p w14:paraId="41DDBDE5">
            <w:pPr>
              <w:spacing w:after="0" w:line="240" w:lineRule="auto"/>
              <w:jc w:val="left"/>
            </w:pPr>
            <w:r>
              <w:rPr>
                <w:rFonts w:ascii="Times New Roman" w:hAnsi="Times New Roman" w:eastAsia="宋体"/>
                <w:sz w:val="17"/>
              </w:rPr>
              <w:t>抽汽/辅汽、给水泵负荷、凝汽及循环水边界</w:t>
            </w:r>
          </w:p>
        </w:tc>
        <w:tc>
          <w:tcPr>
            <w:tcW w:w="2835" w:type="dxa"/>
            <w:tcMar>
              <w:top w:w="60" w:type="dxa"/>
              <w:left w:w="80" w:type="dxa"/>
              <w:bottom w:w="60" w:type="dxa"/>
              <w:right w:w="80" w:type="dxa"/>
            </w:tcMar>
            <w:vAlign w:val="center"/>
          </w:tcPr>
          <w:p w14:paraId="21B6451D">
            <w:pPr>
              <w:spacing w:after="0" w:line="240" w:lineRule="auto"/>
              <w:jc w:val="left"/>
            </w:pPr>
            <w:r>
              <w:rPr>
                <w:rFonts w:ascii="Times New Roman" w:hAnsi="Times New Roman" w:eastAsia="宋体"/>
                <w:sz w:val="17"/>
              </w:rPr>
              <w:t>小机排汽压力/温度、转速及相关热力状态</w:t>
            </w:r>
          </w:p>
        </w:tc>
      </w:tr>
    </w:tbl>
    <w:p w14:paraId="5A595700">
      <w:pPr>
        <w:spacing w:after="0"/>
      </w:pPr>
    </w:p>
    <w:p w14:paraId="55BDECB8">
      <w:pPr>
        <w:keepNext/>
        <w:spacing w:before="80" w:after="40"/>
        <w:jc w:val="center"/>
      </w:pPr>
      <w:r>
        <w:rPr>
          <w:rFonts w:ascii="Times New Roman" w:hAnsi="Times New Roman" w:eastAsia="宋体"/>
          <w:i/>
          <w:sz w:val="18"/>
        </w:rPr>
        <w:t>【图待补：汽轮机系统设备级状态监测建模示意图；后续绘制本体—回热—给水/小机—冷端及U/B/Y关系】</w:t>
      </w:r>
    </w:p>
    <w:p w14:paraId="3BE12481">
      <w:pPr>
        <w:pStyle w:val="166"/>
      </w:pPr>
      <w:r>
        <w:rPr>
          <w:rFonts w:ascii="Times New Roman" w:hAnsi="Times New Roman" w:eastAsia="黑体"/>
          <w:b/>
          <w:sz w:val="21"/>
        </w:rPr>
        <w:t>2.2 基于GRU的状态监测模型及结果分析</w:t>
      </w:r>
    </w:p>
    <w:p w14:paraId="6F7006B8">
      <w:pPr>
        <w:pStyle w:val="164"/>
      </w:pPr>
      <w:r>
        <w:rPr>
          <w:rFonts w:ascii="Times New Roman" w:hAnsi="Times New Roman" w:eastAsia="宋体"/>
          <w:b w:val="0"/>
          <w:sz w:val="21"/>
        </w:rPr>
        <w:t>汽轮机运行状态不仅由当前边界决定，还与前一段时间内的蒸汽参数、调节动作和设备蓄热过程有关。特别是蒸汽温度、缸体热状态以及回热设备参数具有不同程度的时间迟滞，因此本文采用门控循环单元（Gated Recurrent Unit，GRU）建立连续运行边界到设备状态的时序映射。GRU通过重置门和更新门控制历史状态信息的参与程度，在保持循环网络时序记忆能力的同时具有较紧凑的结构[13]。其基本计算过程为</w:t>
      </w:r>
    </w:p>
    <w:p w14:paraId="1A06F72A">
      <w:pPr>
        <w:spacing w:before="40" w:after="40"/>
        <w:jc w:val="center"/>
      </w:pPr>
      <w:r>
        <w:rPr>
          <w:rFonts w:ascii="Cambria Math" w:hAnsi="Cambria Math" w:eastAsia="Cambria Math"/>
          <w:sz w:val="21"/>
        </w:rPr>
        <w:t>rₜ = σ(Wᵣxₜ + Uᵣhₜ₋₁ + bᵣ)</w:t>
      </w:r>
    </w:p>
    <w:p w14:paraId="27EF6E76">
      <w:pPr>
        <w:spacing w:before="40" w:after="40"/>
        <w:jc w:val="center"/>
      </w:pPr>
      <w:r>
        <w:rPr>
          <w:rFonts w:ascii="Cambria Math" w:hAnsi="Cambria Math" w:eastAsia="Cambria Math"/>
          <w:sz w:val="21"/>
        </w:rPr>
        <w:t>zₜ = σ(W_zxₜ + U_zhₜ₋₁ + b_z)</w:t>
      </w:r>
    </w:p>
    <w:p w14:paraId="77B92850">
      <w:pPr>
        <w:spacing w:before="40" w:after="40"/>
        <w:jc w:val="center"/>
      </w:pPr>
      <w:r>
        <w:rPr>
          <w:rFonts w:ascii="Cambria Math" w:hAnsi="Cambria Math" w:eastAsia="Cambria Math"/>
          <w:sz w:val="21"/>
        </w:rPr>
        <w:t>h̃ₜ = tanh(W_hxₜ + U_h(rₜ ⊙ hₜ₋₁) + b_h)</w:t>
      </w:r>
    </w:p>
    <w:p w14:paraId="09DC7DB0">
      <w:pPr>
        <w:spacing w:before="40" w:after="40"/>
        <w:jc w:val="center"/>
      </w:pPr>
      <w:r>
        <w:rPr>
          <w:rFonts w:ascii="Cambria Math" w:hAnsi="Cambria Math" w:eastAsia="Cambria Math"/>
          <w:sz w:val="21"/>
        </w:rPr>
        <w:t>hₜ = (1 − zₜ) ⊙ hₜ₋₁ + zₜ ⊙ h̃ₜ</w:t>
      </w:r>
    </w:p>
    <w:p w14:paraId="5F7EE1F0">
      <w:pPr>
        <w:pStyle w:val="164"/>
      </w:pPr>
      <w:r>
        <w:rPr>
          <w:rFonts w:ascii="Times New Roman" w:hAnsi="Times New Roman" w:eastAsia="宋体"/>
          <w:b w:val="0"/>
          <w:sz w:val="21"/>
        </w:rPr>
        <w:t>式中，xₜ为当前输入，hₜ₋₁和hₜ分别为前一时刻与当前隐藏状态，rₜ和zₜ分别为重置门与更新门，⊙表示逐元素乘积。重置门决定历史状态在候选状态计算中的保留程度，更新门则在历史状态和当前候选状态之间进行加权更新。本文设备状态模型采用“GRU(32)-LayerNorm-Dropout(0.05)-Linear”的紧凑结构，并以连续24个采样点作为输入窗口。</w:t>
      </w:r>
    </w:p>
    <w:p w14:paraId="3597C752">
      <w:pPr>
        <w:pStyle w:val="164"/>
      </w:pPr>
      <w:r>
        <w:rPr>
          <w:rFonts w:ascii="Times New Roman" w:hAnsi="Times New Roman" w:eastAsia="宋体"/>
          <w:b w:val="0"/>
          <w:sz w:val="21"/>
        </w:rPr>
        <w:t>状态监测数据来自机组DCS历史数据库，原始采样周期为1 min。数据仅进行与模型训练直接相关的常规处理：按照统一时间基准对输入输出测点进行对齐，剔除缺失、重复和时间间隔异常记录，并使用训练数据统计量进行标准化。以VHP代表性任务为例，2024年5月正常运行数据用于训练和模型选择，2024年6月数据作为独立测试序列。为比较不同类型时序建模结构，设置ANN、TCN[14]和iTransformer-small[15]作为对照，各模型使用相同输入输出数据和评价样本。</w:t>
      </w:r>
    </w:p>
    <w:p w14:paraId="79B6593C">
      <w:pPr>
        <w:pStyle w:val="164"/>
      </w:pPr>
      <w:r>
        <w:rPr>
          <w:rFonts w:ascii="Times New Roman" w:hAnsi="Times New Roman" w:eastAsia="宋体"/>
          <w:b w:val="0"/>
          <w:sz w:val="21"/>
        </w:rPr>
        <w:t>状态预测性能采用决定系数R²评价：</w:t>
      </w:r>
    </w:p>
    <w:p w14:paraId="6F833907">
      <w:pPr>
        <w:spacing w:before="40" w:after="40"/>
        <w:jc w:val="center"/>
      </w:pPr>
      <w:r>
        <w:rPr>
          <w:rFonts w:ascii="Cambria Math" w:hAnsi="Cambria Math" w:eastAsia="Cambria Math"/>
          <w:sz w:val="21"/>
        </w:rPr>
        <w:t>R² = 1 − Σᵢ(yᵢ − ŷᵢ)² / Σᵢ(yᵢ − ȳ)²</w:t>
      </w:r>
    </w:p>
    <w:p w14:paraId="1DE72AE8">
      <w:pPr>
        <w:pStyle w:val="164"/>
      </w:pPr>
      <w:r>
        <w:rPr>
          <w:rFonts w:ascii="Times New Roman" w:hAnsi="Times New Roman" w:eastAsia="宋体"/>
          <w:b w:val="0"/>
          <w:sz w:val="21"/>
        </w:rPr>
        <w:t>表2给出了VHP最终24个评价状态的宏平均结果。GRU的宏平均R²为0.9511，高于ANN、TCN和iTransformer-small，并在24个状态中有17个取得四种模型中的最高R²。该结果说明，在当前汽轮机DCS数据条件下，GRU能够较稳定地兼顾本体压力、排汽温度和抽汽接口等不同状态的动态映射。</w:t>
      </w:r>
    </w:p>
    <w:p w14:paraId="5AC75D54">
      <w:pPr>
        <w:keepNext/>
        <w:spacing w:before="80" w:after="40"/>
        <w:jc w:val="center"/>
      </w:pPr>
      <w:r>
        <w:rPr>
          <w:rFonts w:ascii="Times New Roman" w:hAnsi="Times New Roman" w:eastAsia="黑体"/>
          <w:b/>
          <w:sz w:val="18"/>
        </w:rPr>
        <w:t>表2  不同状态监测模型的VHP宏平均R²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4535"/>
      </w:tblGrid>
      <w:tr w14:paraId="4F754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6E6"/>
            <w:tcMar>
              <w:top w:w="60" w:type="dxa"/>
              <w:left w:w="80" w:type="dxa"/>
              <w:bottom w:w="60" w:type="dxa"/>
              <w:right w:w="80" w:type="dxa"/>
            </w:tcMar>
            <w:vAlign w:val="center"/>
          </w:tcPr>
          <w:p w14:paraId="0B97255E">
            <w:pPr>
              <w:spacing w:after="0" w:line="240" w:lineRule="auto"/>
              <w:jc w:val="center"/>
            </w:pPr>
            <w:r>
              <w:rPr>
                <w:rFonts w:ascii="Times New Roman" w:hAnsi="Times New Roman" w:eastAsia="黑体"/>
                <w:b/>
                <w:sz w:val="18"/>
              </w:rPr>
              <w:t>模型</w:t>
            </w:r>
          </w:p>
        </w:tc>
        <w:tc>
          <w:tcPr>
            <w:tcW w:w="1701" w:type="dxa"/>
            <w:shd w:val="clear" w:color="auto" w:fill="E7E6E6"/>
            <w:tcMar>
              <w:top w:w="60" w:type="dxa"/>
              <w:left w:w="80" w:type="dxa"/>
              <w:bottom w:w="60" w:type="dxa"/>
              <w:right w:w="80" w:type="dxa"/>
            </w:tcMar>
            <w:vAlign w:val="center"/>
          </w:tcPr>
          <w:p w14:paraId="55BD2046">
            <w:pPr>
              <w:spacing w:after="0" w:line="240" w:lineRule="auto"/>
              <w:jc w:val="center"/>
            </w:pPr>
            <w:r>
              <w:rPr>
                <w:rFonts w:ascii="Times New Roman" w:hAnsi="Times New Roman" w:eastAsia="黑体"/>
                <w:b/>
                <w:sz w:val="18"/>
              </w:rPr>
              <w:t>宏平均R²</w:t>
            </w:r>
          </w:p>
        </w:tc>
        <w:tc>
          <w:tcPr>
            <w:tcW w:w="4535" w:type="dxa"/>
            <w:shd w:val="clear" w:color="auto" w:fill="E7E6E6"/>
            <w:tcMar>
              <w:top w:w="60" w:type="dxa"/>
              <w:left w:w="80" w:type="dxa"/>
              <w:bottom w:w="60" w:type="dxa"/>
              <w:right w:w="80" w:type="dxa"/>
            </w:tcMar>
            <w:vAlign w:val="center"/>
          </w:tcPr>
          <w:p w14:paraId="345082A8">
            <w:pPr>
              <w:spacing w:after="0" w:line="240" w:lineRule="auto"/>
              <w:jc w:val="center"/>
            </w:pPr>
            <w:r>
              <w:rPr>
                <w:rFonts w:ascii="Times New Roman" w:hAnsi="Times New Roman" w:eastAsia="黑体"/>
                <w:b/>
                <w:sz w:val="18"/>
              </w:rPr>
              <w:t>说明</w:t>
            </w:r>
          </w:p>
        </w:tc>
      </w:tr>
      <w:tr w14:paraId="1FF5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41F7D109">
            <w:pPr>
              <w:spacing w:after="0" w:line="240" w:lineRule="auto"/>
              <w:jc w:val="center"/>
            </w:pPr>
            <w:r>
              <w:rPr>
                <w:rFonts w:ascii="Times New Roman" w:hAnsi="Times New Roman" w:eastAsia="宋体"/>
                <w:sz w:val="18"/>
              </w:rPr>
              <w:t>ANN</w:t>
            </w:r>
          </w:p>
        </w:tc>
        <w:tc>
          <w:tcPr>
            <w:tcW w:w="1701" w:type="dxa"/>
            <w:tcMar>
              <w:top w:w="60" w:type="dxa"/>
              <w:left w:w="80" w:type="dxa"/>
              <w:bottom w:w="60" w:type="dxa"/>
              <w:right w:w="80" w:type="dxa"/>
            </w:tcMar>
            <w:vAlign w:val="center"/>
          </w:tcPr>
          <w:p w14:paraId="7EC12D87">
            <w:pPr>
              <w:spacing w:after="0" w:line="240" w:lineRule="auto"/>
              <w:jc w:val="left"/>
            </w:pPr>
            <w:r>
              <w:rPr>
                <w:rFonts w:ascii="Times New Roman" w:hAnsi="Times New Roman" w:eastAsia="宋体"/>
                <w:sz w:val="18"/>
              </w:rPr>
              <w:t>0.9087</w:t>
            </w:r>
          </w:p>
        </w:tc>
        <w:tc>
          <w:tcPr>
            <w:tcW w:w="4535" w:type="dxa"/>
            <w:tcMar>
              <w:top w:w="60" w:type="dxa"/>
              <w:left w:w="80" w:type="dxa"/>
              <w:bottom w:w="60" w:type="dxa"/>
              <w:right w:w="80" w:type="dxa"/>
            </w:tcMar>
            <w:vAlign w:val="center"/>
          </w:tcPr>
          <w:p w14:paraId="0C1466D7">
            <w:pPr>
              <w:spacing w:after="0" w:line="240" w:lineRule="auto"/>
              <w:jc w:val="left"/>
            </w:pPr>
            <w:r>
              <w:rPr>
                <w:rFonts w:ascii="Times New Roman" w:hAnsi="Times New Roman" w:eastAsia="宋体"/>
                <w:sz w:val="18"/>
              </w:rPr>
              <w:t>静态基线</w:t>
            </w:r>
          </w:p>
        </w:tc>
      </w:tr>
      <w:tr w14:paraId="4563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2D38BF99">
            <w:pPr>
              <w:spacing w:after="0" w:line="240" w:lineRule="auto"/>
              <w:jc w:val="center"/>
            </w:pPr>
            <w:r>
              <w:rPr>
                <w:rFonts w:ascii="Times New Roman" w:hAnsi="Times New Roman" w:eastAsia="宋体"/>
                <w:sz w:val="18"/>
              </w:rPr>
              <w:t>TCN</w:t>
            </w:r>
          </w:p>
        </w:tc>
        <w:tc>
          <w:tcPr>
            <w:tcW w:w="1701" w:type="dxa"/>
            <w:tcMar>
              <w:top w:w="60" w:type="dxa"/>
              <w:left w:w="80" w:type="dxa"/>
              <w:bottom w:w="60" w:type="dxa"/>
              <w:right w:w="80" w:type="dxa"/>
            </w:tcMar>
            <w:vAlign w:val="center"/>
          </w:tcPr>
          <w:p w14:paraId="7F62B0CB">
            <w:pPr>
              <w:spacing w:after="0" w:line="240" w:lineRule="auto"/>
              <w:jc w:val="left"/>
            </w:pPr>
            <w:r>
              <w:rPr>
                <w:rFonts w:ascii="Times New Roman" w:hAnsi="Times New Roman" w:eastAsia="宋体"/>
                <w:sz w:val="18"/>
              </w:rPr>
              <w:t>0.9397</w:t>
            </w:r>
          </w:p>
        </w:tc>
        <w:tc>
          <w:tcPr>
            <w:tcW w:w="4535" w:type="dxa"/>
            <w:tcMar>
              <w:top w:w="60" w:type="dxa"/>
              <w:left w:w="80" w:type="dxa"/>
              <w:bottom w:w="60" w:type="dxa"/>
              <w:right w:w="80" w:type="dxa"/>
            </w:tcMar>
            <w:vAlign w:val="center"/>
          </w:tcPr>
          <w:p w14:paraId="2E1A4049">
            <w:pPr>
              <w:spacing w:after="0" w:line="240" w:lineRule="auto"/>
              <w:jc w:val="left"/>
            </w:pPr>
            <w:r>
              <w:rPr>
                <w:rFonts w:ascii="Times New Roman" w:hAnsi="Times New Roman" w:eastAsia="宋体"/>
                <w:sz w:val="18"/>
              </w:rPr>
              <w:t>时序卷积基线</w:t>
            </w:r>
          </w:p>
        </w:tc>
      </w:tr>
      <w:tr w14:paraId="51B4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00402F7F">
            <w:pPr>
              <w:spacing w:after="0" w:line="240" w:lineRule="auto"/>
              <w:jc w:val="center"/>
            </w:pPr>
            <w:r>
              <w:rPr>
                <w:rFonts w:ascii="Times New Roman" w:hAnsi="Times New Roman" w:eastAsia="宋体"/>
                <w:sz w:val="18"/>
              </w:rPr>
              <w:t>iTransformer-small</w:t>
            </w:r>
          </w:p>
        </w:tc>
        <w:tc>
          <w:tcPr>
            <w:tcW w:w="1701" w:type="dxa"/>
            <w:tcMar>
              <w:top w:w="60" w:type="dxa"/>
              <w:left w:w="80" w:type="dxa"/>
              <w:bottom w:w="60" w:type="dxa"/>
              <w:right w:w="80" w:type="dxa"/>
            </w:tcMar>
            <w:vAlign w:val="center"/>
          </w:tcPr>
          <w:p w14:paraId="0AB81811">
            <w:pPr>
              <w:spacing w:after="0" w:line="240" w:lineRule="auto"/>
              <w:jc w:val="left"/>
            </w:pPr>
            <w:r>
              <w:rPr>
                <w:rFonts w:ascii="Times New Roman" w:hAnsi="Times New Roman" w:eastAsia="宋体"/>
                <w:sz w:val="18"/>
              </w:rPr>
              <w:t>0.9356</w:t>
            </w:r>
          </w:p>
        </w:tc>
        <w:tc>
          <w:tcPr>
            <w:tcW w:w="4535" w:type="dxa"/>
            <w:tcMar>
              <w:top w:w="60" w:type="dxa"/>
              <w:left w:w="80" w:type="dxa"/>
              <w:bottom w:w="60" w:type="dxa"/>
              <w:right w:w="80" w:type="dxa"/>
            </w:tcMar>
            <w:vAlign w:val="center"/>
          </w:tcPr>
          <w:p w14:paraId="2B344955">
            <w:pPr>
              <w:spacing w:after="0" w:line="240" w:lineRule="auto"/>
              <w:jc w:val="left"/>
            </w:pPr>
            <w:r>
              <w:rPr>
                <w:rFonts w:ascii="Times New Roman" w:hAnsi="Times New Roman" w:eastAsia="宋体"/>
                <w:sz w:val="18"/>
              </w:rPr>
              <w:t>轻量Transformer基线</w:t>
            </w:r>
          </w:p>
        </w:tc>
      </w:tr>
      <w:tr w14:paraId="2C05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1F606310">
            <w:pPr>
              <w:spacing w:after="0" w:line="240" w:lineRule="auto"/>
              <w:jc w:val="center"/>
            </w:pPr>
            <w:r>
              <w:rPr>
                <w:rFonts w:ascii="Times New Roman" w:hAnsi="Times New Roman" w:eastAsia="宋体"/>
                <w:sz w:val="18"/>
              </w:rPr>
              <w:t>GRU</w:t>
            </w:r>
          </w:p>
        </w:tc>
        <w:tc>
          <w:tcPr>
            <w:tcW w:w="1701" w:type="dxa"/>
            <w:tcMar>
              <w:top w:w="60" w:type="dxa"/>
              <w:left w:w="80" w:type="dxa"/>
              <w:bottom w:w="60" w:type="dxa"/>
              <w:right w:w="80" w:type="dxa"/>
            </w:tcMar>
            <w:vAlign w:val="center"/>
          </w:tcPr>
          <w:p w14:paraId="14D1B8CA">
            <w:pPr>
              <w:spacing w:after="0" w:line="240" w:lineRule="auto"/>
              <w:jc w:val="left"/>
            </w:pPr>
            <w:r>
              <w:rPr>
                <w:rFonts w:ascii="Times New Roman" w:hAnsi="Times New Roman" w:eastAsia="宋体"/>
                <w:sz w:val="18"/>
              </w:rPr>
              <w:t>0.9511</w:t>
            </w:r>
          </w:p>
        </w:tc>
        <w:tc>
          <w:tcPr>
            <w:tcW w:w="4535" w:type="dxa"/>
            <w:tcMar>
              <w:top w:w="60" w:type="dxa"/>
              <w:left w:w="80" w:type="dxa"/>
              <w:bottom w:w="60" w:type="dxa"/>
              <w:right w:w="80" w:type="dxa"/>
            </w:tcMar>
            <w:vAlign w:val="center"/>
          </w:tcPr>
          <w:p w14:paraId="338EDD67">
            <w:pPr>
              <w:spacing w:after="0" w:line="240" w:lineRule="auto"/>
              <w:jc w:val="left"/>
            </w:pPr>
            <w:r>
              <w:rPr>
                <w:rFonts w:ascii="Times New Roman" w:hAnsi="Times New Roman" w:eastAsia="宋体"/>
                <w:sz w:val="18"/>
              </w:rPr>
              <w:t>本文后续采用的状态监测模型</w:t>
            </w:r>
          </w:p>
        </w:tc>
      </w:tr>
    </w:tbl>
    <w:p w14:paraId="5D139F75">
      <w:pPr>
        <w:spacing w:after="0"/>
      </w:pPr>
    </w:p>
    <w:p w14:paraId="4A95B290">
      <w:pPr>
        <w:keepNext/>
        <w:spacing w:before="80" w:after="40"/>
        <w:jc w:val="center"/>
      </w:pPr>
      <w:r>
        <w:rPr>
          <w:rFonts w:ascii="Times New Roman" w:hAnsi="Times New Roman" w:eastAsia="宋体"/>
          <w:i/>
          <w:sz w:val="18"/>
        </w:rPr>
        <w:t>【图待补：不同状态监测模型宏平均R²对比；ANN、TCN、iTransformer-small与GRU柱状图】</w:t>
      </w:r>
    </w:p>
    <w:p w14:paraId="08CFF0C7">
      <w:pPr>
        <w:pStyle w:val="164"/>
      </w:pPr>
      <w:r>
        <w:rPr>
          <w:rFonts w:ascii="Times New Roman" w:hAnsi="Times New Roman" w:eastAsia="宋体"/>
          <w:b w:val="0"/>
          <w:sz w:val="21"/>
        </w:rPr>
        <w:t>考虑正文篇幅，本文不逐一展示全部测点，而选取VHP本体压力、主排汽温度和一级抽汽接口温度三类具有不同物理位置的状态作为代表。三个测点的R²分别为0.9979、0.9387和0.9529，能够覆盖“汽缸本体—主通流出口—抽汽回热接口”三种状态类型。后续图中横轴统一采用连续样本点序号，以突出预测值与DCS实测值的跟踪关系。</w:t>
      </w:r>
    </w:p>
    <w:p w14:paraId="3E40CBE3">
      <w:pPr>
        <w:keepNext/>
        <w:spacing w:before="80" w:after="40"/>
        <w:jc w:val="center"/>
      </w:pPr>
      <w:r>
        <w:rPr>
          <w:rFonts w:ascii="Times New Roman" w:hAnsi="Times New Roman" w:eastAsia="黑体"/>
          <w:b/>
          <w:sz w:val="18"/>
        </w:rPr>
        <w:t>表3  VHP代表性状态预测结果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gridCol w:w="1417"/>
      </w:tblGrid>
      <w:tr w14:paraId="1F30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2" w:type="dxa"/>
            <w:shd w:val="clear" w:color="auto" w:fill="E7E6E6"/>
            <w:tcMar>
              <w:top w:w="60" w:type="dxa"/>
              <w:left w:w="80" w:type="dxa"/>
              <w:bottom w:w="60" w:type="dxa"/>
              <w:right w:w="80" w:type="dxa"/>
            </w:tcMar>
            <w:vAlign w:val="center"/>
          </w:tcPr>
          <w:p w14:paraId="6545C71E">
            <w:pPr>
              <w:spacing w:after="0" w:line="240" w:lineRule="auto"/>
              <w:jc w:val="center"/>
            </w:pPr>
            <w:r>
              <w:rPr>
                <w:rFonts w:ascii="Times New Roman" w:hAnsi="Times New Roman" w:eastAsia="黑体"/>
                <w:b/>
                <w:sz w:val="18"/>
              </w:rPr>
              <w:t>代表状态</w:t>
            </w:r>
          </w:p>
        </w:tc>
        <w:tc>
          <w:tcPr>
            <w:tcW w:w="3402" w:type="dxa"/>
            <w:shd w:val="clear" w:color="auto" w:fill="E7E6E6"/>
            <w:tcMar>
              <w:top w:w="60" w:type="dxa"/>
              <w:left w:w="80" w:type="dxa"/>
              <w:bottom w:w="60" w:type="dxa"/>
              <w:right w:w="80" w:type="dxa"/>
            </w:tcMar>
            <w:vAlign w:val="center"/>
          </w:tcPr>
          <w:p w14:paraId="75EDF4AC">
            <w:pPr>
              <w:spacing w:after="0" w:line="240" w:lineRule="auto"/>
              <w:jc w:val="center"/>
            </w:pPr>
            <w:r>
              <w:rPr>
                <w:rFonts w:ascii="Times New Roman" w:hAnsi="Times New Roman" w:eastAsia="黑体"/>
                <w:b/>
                <w:sz w:val="18"/>
              </w:rPr>
              <w:t>物理位置</w:t>
            </w:r>
          </w:p>
        </w:tc>
        <w:tc>
          <w:tcPr>
            <w:tcW w:w="1417" w:type="dxa"/>
            <w:shd w:val="clear" w:color="auto" w:fill="E7E6E6"/>
            <w:tcMar>
              <w:top w:w="60" w:type="dxa"/>
              <w:left w:w="80" w:type="dxa"/>
              <w:bottom w:w="60" w:type="dxa"/>
              <w:right w:w="80" w:type="dxa"/>
            </w:tcMar>
            <w:vAlign w:val="center"/>
          </w:tcPr>
          <w:p w14:paraId="72A5379E">
            <w:pPr>
              <w:spacing w:after="0" w:line="240" w:lineRule="auto"/>
              <w:jc w:val="center"/>
            </w:pPr>
            <w:r>
              <w:rPr>
                <w:rFonts w:ascii="Times New Roman" w:hAnsi="Times New Roman" w:eastAsia="黑体"/>
                <w:b/>
                <w:sz w:val="18"/>
              </w:rPr>
              <w:t>R²</w:t>
            </w:r>
          </w:p>
        </w:tc>
      </w:tr>
      <w:tr w14:paraId="0D9DB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Mar>
              <w:top w:w="60" w:type="dxa"/>
              <w:left w:w="80" w:type="dxa"/>
              <w:bottom w:w="60" w:type="dxa"/>
              <w:right w:w="80" w:type="dxa"/>
            </w:tcMar>
            <w:vAlign w:val="center"/>
          </w:tcPr>
          <w:p w14:paraId="37B5CDA8">
            <w:pPr>
              <w:spacing w:after="0" w:line="240" w:lineRule="auto"/>
              <w:jc w:val="center"/>
            </w:pPr>
            <w:r>
              <w:rPr>
                <w:rFonts w:ascii="Times New Roman" w:hAnsi="Times New Roman" w:eastAsia="宋体"/>
                <w:sz w:val="18"/>
              </w:rPr>
              <w:t>叶片级压力#1</w:t>
            </w:r>
          </w:p>
        </w:tc>
        <w:tc>
          <w:tcPr>
            <w:tcW w:w="3402" w:type="dxa"/>
            <w:tcMar>
              <w:top w:w="60" w:type="dxa"/>
              <w:left w:w="80" w:type="dxa"/>
              <w:bottom w:w="60" w:type="dxa"/>
              <w:right w:w="80" w:type="dxa"/>
            </w:tcMar>
            <w:vAlign w:val="center"/>
          </w:tcPr>
          <w:p w14:paraId="1D64604D">
            <w:pPr>
              <w:spacing w:after="0" w:line="240" w:lineRule="auto"/>
              <w:jc w:val="left"/>
            </w:pPr>
            <w:r>
              <w:rPr>
                <w:rFonts w:ascii="Times New Roman" w:hAnsi="Times New Roman" w:eastAsia="宋体"/>
                <w:sz w:val="18"/>
              </w:rPr>
              <w:t>VHP本体通流状态</w:t>
            </w:r>
          </w:p>
        </w:tc>
        <w:tc>
          <w:tcPr>
            <w:tcW w:w="1417" w:type="dxa"/>
            <w:tcMar>
              <w:top w:w="60" w:type="dxa"/>
              <w:left w:w="80" w:type="dxa"/>
              <w:bottom w:w="60" w:type="dxa"/>
              <w:right w:w="80" w:type="dxa"/>
            </w:tcMar>
            <w:vAlign w:val="center"/>
          </w:tcPr>
          <w:p w14:paraId="691D83C6">
            <w:pPr>
              <w:spacing w:after="0" w:line="240" w:lineRule="auto"/>
              <w:jc w:val="left"/>
            </w:pPr>
            <w:r>
              <w:rPr>
                <w:rFonts w:ascii="Times New Roman" w:hAnsi="Times New Roman" w:eastAsia="宋体"/>
                <w:sz w:val="18"/>
              </w:rPr>
              <w:t>0.9979</w:t>
            </w:r>
          </w:p>
        </w:tc>
      </w:tr>
      <w:tr w14:paraId="4BF1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Mar>
              <w:top w:w="60" w:type="dxa"/>
              <w:left w:w="80" w:type="dxa"/>
              <w:bottom w:w="60" w:type="dxa"/>
              <w:right w:w="80" w:type="dxa"/>
            </w:tcMar>
            <w:vAlign w:val="center"/>
          </w:tcPr>
          <w:p w14:paraId="0A54E253">
            <w:pPr>
              <w:spacing w:after="0" w:line="240" w:lineRule="auto"/>
              <w:jc w:val="center"/>
            </w:pPr>
            <w:r>
              <w:rPr>
                <w:rFonts w:ascii="Times New Roman" w:hAnsi="Times New Roman" w:eastAsia="宋体"/>
                <w:sz w:val="18"/>
              </w:rPr>
              <w:t>超高压排汽蒸汽温度#3</w:t>
            </w:r>
          </w:p>
        </w:tc>
        <w:tc>
          <w:tcPr>
            <w:tcW w:w="3402" w:type="dxa"/>
            <w:tcMar>
              <w:top w:w="60" w:type="dxa"/>
              <w:left w:w="80" w:type="dxa"/>
              <w:bottom w:w="60" w:type="dxa"/>
              <w:right w:w="80" w:type="dxa"/>
            </w:tcMar>
            <w:vAlign w:val="center"/>
          </w:tcPr>
          <w:p w14:paraId="27913D18">
            <w:pPr>
              <w:spacing w:after="0" w:line="240" w:lineRule="auto"/>
              <w:jc w:val="left"/>
            </w:pPr>
            <w:r>
              <w:rPr>
                <w:rFonts w:ascii="Times New Roman" w:hAnsi="Times New Roman" w:eastAsia="宋体"/>
                <w:sz w:val="18"/>
              </w:rPr>
              <w:t>VHP主排汽/一次再热入口方向</w:t>
            </w:r>
          </w:p>
        </w:tc>
        <w:tc>
          <w:tcPr>
            <w:tcW w:w="1417" w:type="dxa"/>
            <w:tcMar>
              <w:top w:w="60" w:type="dxa"/>
              <w:left w:w="80" w:type="dxa"/>
              <w:bottom w:w="60" w:type="dxa"/>
              <w:right w:w="80" w:type="dxa"/>
            </w:tcMar>
            <w:vAlign w:val="center"/>
          </w:tcPr>
          <w:p w14:paraId="2DA10B76">
            <w:pPr>
              <w:spacing w:after="0" w:line="240" w:lineRule="auto"/>
              <w:jc w:val="left"/>
            </w:pPr>
            <w:r>
              <w:rPr>
                <w:rFonts w:ascii="Times New Roman" w:hAnsi="Times New Roman" w:eastAsia="宋体"/>
                <w:sz w:val="18"/>
              </w:rPr>
              <w:t>0.9387</w:t>
            </w:r>
          </w:p>
        </w:tc>
      </w:tr>
      <w:tr w14:paraId="3763B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Mar>
              <w:top w:w="60" w:type="dxa"/>
              <w:left w:w="80" w:type="dxa"/>
              <w:bottom w:w="60" w:type="dxa"/>
              <w:right w:w="80" w:type="dxa"/>
            </w:tcMar>
            <w:vAlign w:val="center"/>
          </w:tcPr>
          <w:p w14:paraId="5AE880B8">
            <w:pPr>
              <w:spacing w:after="0" w:line="240" w:lineRule="auto"/>
              <w:jc w:val="center"/>
            </w:pPr>
            <w:r>
              <w:rPr>
                <w:rFonts w:ascii="Times New Roman" w:hAnsi="Times New Roman" w:eastAsia="宋体"/>
                <w:sz w:val="18"/>
              </w:rPr>
              <w:t>一级抽汽逆止门后水平管管顶温度</w:t>
            </w:r>
          </w:p>
        </w:tc>
        <w:tc>
          <w:tcPr>
            <w:tcW w:w="3402" w:type="dxa"/>
            <w:tcMar>
              <w:top w:w="60" w:type="dxa"/>
              <w:left w:w="80" w:type="dxa"/>
              <w:bottom w:w="60" w:type="dxa"/>
              <w:right w:w="80" w:type="dxa"/>
            </w:tcMar>
            <w:vAlign w:val="center"/>
          </w:tcPr>
          <w:p w14:paraId="5D37197A">
            <w:pPr>
              <w:spacing w:after="0" w:line="240" w:lineRule="auto"/>
              <w:jc w:val="left"/>
            </w:pPr>
            <w:r>
              <w:rPr>
                <w:rFonts w:ascii="Times New Roman" w:hAnsi="Times New Roman" w:eastAsia="宋体"/>
                <w:sz w:val="18"/>
              </w:rPr>
              <w:t>VHP一级抽汽—回热接口</w:t>
            </w:r>
          </w:p>
        </w:tc>
        <w:tc>
          <w:tcPr>
            <w:tcW w:w="1417" w:type="dxa"/>
            <w:tcMar>
              <w:top w:w="60" w:type="dxa"/>
              <w:left w:w="80" w:type="dxa"/>
              <w:bottom w:w="60" w:type="dxa"/>
              <w:right w:w="80" w:type="dxa"/>
            </w:tcMar>
            <w:vAlign w:val="center"/>
          </w:tcPr>
          <w:p w14:paraId="2B84F9F8">
            <w:pPr>
              <w:spacing w:after="0" w:line="240" w:lineRule="auto"/>
              <w:jc w:val="left"/>
            </w:pPr>
            <w:r>
              <w:rPr>
                <w:rFonts w:ascii="Times New Roman" w:hAnsi="Times New Roman" w:eastAsia="宋体"/>
                <w:sz w:val="18"/>
              </w:rPr>
              <w:t>0.9529</w:t>
            </w:r>
          </w:p>
        </w:tc>
      </w:tr>
    </w:tbl>
    <w:p w14:paraId="48B3A3B1">
      <w:pPr>
        <w:spacing w:after="0"/>
      </w:pPr>
    </w:p>
    <w:p w14:paraId="466DA087">
      <w:pPr>
        <w:keepNext/>
        <w:spacing w:before="80" w:after="40"/>
        <w:jc w:val="center"/>
      </w:pPr>
      <w:r>
        <w:rPr>
          <w:rFonts w:ascii="Times New Roman" w:hAnsi="Times New Roman" w:eastAsia="宋体"/>
          <w:i/>
          <w:sz w:val="18"/>
        </w:rPr>
        <w:t>【图待补：VHP三类代表状态的DCS实测值与GRU预测值；横轴采用样本点序号】</w:t>
      </w:r>
    </w:p>
    <w:p w14:paraId="75ABE210">
      <w:pPr>
        <w:pStyle w:val="164"/>
      </w:pPr>
      <w:r>
        <w:rPr>
          <w:rFonts w:ascii="Times New Roman" w:hAnsi="Times New Roman" w:eastAsia="宋体"/>
          <w:b w:val="0"/>
          <w:sz w:val="21"/>
        </w:rPr>
        <w:t>基于上述结果，本文采用GRU建立汽轮机设备级状态参考。状态模型在故障诊断中的作用不是直接给出故障类别，而是在给定运行边界下输出设备应处的参考状态；实际DCS状态与该模型输出之间的偏差将在下一节中进一步组织为KG-GCN的节点数值输入。</w:t>
      </w:r>
    </w:p>
    <w:p w14:paraId="694F144B">
      <w:pPr>
        <w:pStyle w:val="165"/>
      </w:pPr>
      <w:r>
        <w:rPr>
          <w:rFonts w:ascii="Times New Roman" w:hAnsi="Times New Roman" w:eastAsia="黑体"/>
          <w:b/>
          <w:sz w:val="24"/>
        </w:rPr>
        <w:t>3 基于KG-GCN的汽轮机系统故障诊断方法</w:t>
      </w:r>
    </w:p>
    <w:p w14:paraId="1D9E661C">
      <w:pPr>
        <w:pStyle w:val="166"/>
      </w:pPr>
      <w:r>
        <w:rPr>
          <w:rFonts w:ascii="Times New Roman" w:hAnsi="Times New Roman" w:eastAsia="黑体"/>
          <w:b/>
          <w:sz w:val="21"/>
        </w:rPr>
        <w:t>3.1 知识图谱与图卷积网络</w:t>
      </w:r>
    </w:p>
    <w:p w14:paraId="1F2C6F63">
      <w:pPr>
        <w:pStyle w:val="167"/>
      </w:pPr>
      <w:r>
        <w:rPr>
          <w:rFonts w:ascii="Times New Roman" w:hAnsi="Times New Roman" w:eastAsia="黑体"/>
          <w:b/>
          <w:sz w:val="21"/>
        </w:rPr>
        <w:t>3.1.1 知识图谱</w:t>
      </w:r>
    </w:p>
    <w:p w14:paraId="6988E780">
      <w:pPr>
        <w:pStyle w:val="164"/>
      </w:pPr>
      <w:r>
        <w:rPr>
          <w:rFonts w:ascii="Times New Roman" w:hAnsi="Times New Roman" w:eastAsia="宋体"/>
          <w:b w:val="0"/>
          <w:sz w:val="21"/>
        </w:rPr>
        <w:t>知识图谱（Knowledge Graph，KG）以实体及其关系描述领域中的结构化知识，适合组织来源不同、层次不同但具有明确语义联系的信息[12]。对于汽轮机系统，DCS点表提供参数名称和可观测状态，设备输入输出资料提供参数归属和热力接口，论文、标准及运行技术资料则补充故障机理、异常现象和处置知识。本文将设备、参数、异常、故障和处置定义为主要实体类型，将“归属”“介质流向/设备接口”“发生于”“导致/表现为”“影响/关联监测”和“处置为”等定义为关系类型。知识图谱在本文中承担的是静态工程知识组织功能，即回答参数位于什么设备、设备之间如何连接、故障可能影响哪些状态等问题。</w:t>
      </w:r>
    </w:p>
    <w:p w14:paraId="08585962">
      <w:pPr>
        <w:spacing w:before="40" w:after="40"/>
        <w:jc w:val="center"/>
      </w:pPr>
      <w:r>
        <w:rPr>
          <w:rFonts w:ascii="Cambria Math" w:hAnsi="Cambria Math" w:eastAsia="Cambria Math"/>
          <w:sz w:val="21"/>
        </w:rPr>
        <w:t>G_KG = (V, E, R)</w:t>
      </w:r>
    </w:p>
    <w:p w14:paraId="089B0080">
      <w:pPr>
        <w:pStyle w:val="164"/>
      </w:pPr>
      <w:r>
        <w:rPr>
          <w:rFonts w:ascii="Times New Roman" w:hAnsi="Times New Roman" w:eastAsia="宋体"/>
          <w:b w:val="0"/>
          <w:sz w:val="21"/>
        </w:rPr>
        <w:t>式中，V为实体集合，E为实体间关系边集合，R为关系类型集合。知识图谱本身不进行DCS数值特征的卷积计算，而是为后续任务参数图的构建和结构约束提供知识来源。</w:t>
      </w:r>
    </w:p>
    <w:p w14:paraId="0EEBEC54">
      <w:pPr>
        <w:pStyle w:val="167"/>
      </w:pPr>
      <w:r>
        <w:rPr>
          <w:rFonts w:ascii="Times New Roman" w:hAnsi="Times New Roman" w:eastAsia="黑体"/>
          <w:b/>
          <w:sz w:val="21"/>
        </w:rPr>
        <w:t>3.1.2 图卷积网络</w:t>
      </w:r>
    </w:p>
    <w:p w14:paraId="7D457C09">
      <w:pPr>
        <w:pStyle w:val="164"/>
      </w:pPr>
      <w:r>
        <w:rPr>
          <w:rFonts w:ascii="Times New Roman" w:hAnsi="Times New Roman" w:eastAsia="宋体"/>
          <w:b w:val="0"/>
          <w:sz w:val="21"/>
        </w:rPr>
        <w:t>图卷积网络（Graph Convolutional Network，GCN）用于在非规则图结构上进行节点特征传播与聚合[16]。设任务图的邻接矩阵为A，加入单位矩阵I保留节点自身信息，并进行对称归一化，得到</w:t>
      </w:r>
    </w:p>
    <w:p w14:paraId="40EE5724">
      <w:pPr>
        <w:spacing w:before="40" w:after="40"/>
        <w:jc w:val="center"/>
      </w:pPr>
      <w:r>
        <w:rPr>
          <w:rFonts w:ascii="Cambria Math" w:hAnsi="Cambria Math" w:eastAsia="Cambria Math"/>
          <w:sz w:val="21"/>
        </w:rPr>
        <w:t>Ã = D̃⁻¹ᐟ²(A + I)D̃⁻¹ᐟ²</w:t>
      </w:r>
    </w:p>
    <w:p w14:paraId="04E59CD8">
      <w:pPr>
        <w:pStyle w:val="164"/>
      </w:pPr>
      <w:r>
        <w:rPr>
          <w:rFonts w:ascii="Times New Roman" w:hAnsi="Times New Roman" w:eastAsia="宋体"/>
          <w:b w:val="0"/>
          <w:sz w:val="21"/>
        </w:rPr>
        <w:t>第l层图卷积可表示为</w:t>
      </w:r>
    </w:p>
    <w:p w14:paraId="04C652C6">
      <w:pPr>
        <w:spacing w:before="40" w:after="40"/>
        <w:jc w:val="center"/>
      </w:pPr>
      <w:r>
        <w:rPr>
          <w:rFonts w:ascii="Cambria Math" w:hAnsi="Cambria Math" w:eastAsia="Cambria Math"/>
          <w:sz w:val="21"/>
        </w:rPr>
        <w:t>H⁽ˡ⁺¹⁾ = σ(ÃH⁽ˡ⁾W⁽ˡ⁾)</w:t>
      </w:r>
    </w:p>
    <w:p w14:paraId="0C558431">
      <w:pPr>
        <w:pStyle w:val="164"/>
      </w:pPr>
      <w:r>
        <w:rPr>
          <w:rFonts w:ascii="Times New Roman" w:hAnsi="Times New Roman" w:eastAsia="宋体"/>
          <w:b w:val="0"/>
          <w:sz w:val="21"/>
        </w:rPr>
        <w:t>式中，H⁽ˡ⁾为第l层节点特征，W⁽ˡ⁾为可训练权重矩阵，σ(·)为非线性激活函数。邻接矩阵决定节点从哪些相邻位置接收信息，而节点特征决定传播和聚合的具体数值内容。因此，在本文KG-GCN中，KG负责提供汽轮机参数之间具有工程含义的结构关系，GCN则利用该结构对状态偏差进行数值特征聚合，两者功能不同但在诊断阶段形成衔接。</w:t>
      </w:r>
    </w:p>
    <w:p w14:paraId="3A530C0D">
      <w:pPr>
        <w:pStyle w:val="166"/>
      </w:pPr>
      <w:r>
        <w:rPr>
          <w:rFonts w:ascii="Times New Roman" w:hAnsi="Times New Roman" w:eastAsia="黑体"/>
          <w:b/>
          <w:sz w:val="21"/>
        </w:rPr>
        <w:t>3.2 基于运行生产资料的KG-GCN故障诊断模型</w:t>
      </w:r>
    </w:p>
    <w:p w14:paraId="5B4A8403">
      <w:pPr>
        <w:pStyle w:val="167"/>
      </w:pPr>
      <w:r>
        <w:rPr>
          <w:rFonts w:ascii="Times New Roman" w:hAnsi="Times New Roman" w:eastAsia="黑体"/>
          <w:b/>
          <w:sz w:val="21"/>
        </w:rPr>
        <w:t>3.2.1 汽轮机系统参数及故障知识</w:t>
      </w:r>
    </w:p>
    <w:p w14:paraId="7A70D38A">
      <w:pPr>
        <w:pStyle w:val="164"/>
      </w:pPr>
      <w:r>
        <w:rPr>
          <w:rFonts w:ascii="Times New Roman" w:hAnsi="Times New Roman" w:eastAsia="宋体"/>
          <w:b w:val="0"/>
          <w:sz w:val="21"/>
        </w:rPr>
        <w:t>汽轮机系统包含主通流、抽汽回热、给水及冷端等多条热力联系。故障发生后，其影响通常表现为一组具有设备位置关系的参数共同变化，而不是单一测点的孤立异常。例如，通流面积变化会改变级组压力和排汽状态；汽封或缸间泄漏会造成蒸汽旁路损失并改变相邻汽缸热力状态[19]；凝汽器水侧污垢会削弱传热能力并引起背压和循环水相关参数变化[20]；高、低压加热器内部泄漏则会改变回热换热过程以及水位、温度等状态[21-22]。文献中关于叶栅沉积导致有效通流面积变化的研究也表明，压力分布能够反映流道能力变化[18]。这些机理为系统知识图谱中的故障—异常—参数关联提供了可核验的外部知识基础。</w:t>
      </w:r>
    </w:p>
    <w:p w14:paraId="564246C2">
      <w:pPr>
        <w:pStyle w:val="164"/>
      </w:pPr>
      <w:r>
        <w:rPr>
          <w:rFonts w:ascii="Times New Roman" w:hAnsi="Times New Roman" w:eastAsia="宋体"/>
          <w:b w:val="0"/>
          <w:sz w:val="21"/>
        </w:rPr>
        <w:t>本文知识图谱的范围面向汽轮机系统，而后续VHP算例只是从系统图谱中抽取的代表性任务子图。为避免将案例范围等同于方法范围，表4首先给出系统级故障知识的典型组织方式；具体进入主知识图谱的关系还需同时满足机组结构资料和来源证据校核。</w:t>
      </w:r>
    </w:p>
    <w:p w14:paraId="26D8947C">
      <w:pPr>
        <w:keepNext/>
        <w:spacing w:before="80" w:after="40"/>
        <w:jc w:val="center"/>
      </w:pPr>
      <w:r>
        <w:rPr>
          <w:rFonts w:ascii="Times New Roman" w:hAnsi="Times New Roman" w:eastAsia="黑体"/>
          <w:b/>
          <w:sz w:val="18"/>
        </w:rPr>
        <w:t>表4  汽轮机系统典型故障知识及主要关联区域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041"/>
        <w:gridCol w:w="2835"/>
        <w:gridCol w:w="2835"/>
      </w:tblGrid>
      <w:tr w14:paraId="5F9D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7E6E6"/>
            <w:tcMar>
              <w:top w:w="60" w:type="dxa"/>
              <w:left w:w="80" w:type="dxa"/>
              <w:bottom w:w="60" w:type="dxa"/>
              <w:right w:w="80" w:type="dxa"/>
            </w:tcMar>
            <w:vAlign w:val="center"/>
          </w:tcPr>
          <w:p w14:paraId="44A2ECCD">
            <w:pPr>
              <w:spacing w:after="0" w:line="240" w:lineRule="auto"/>
              <w:jc w:val="center"/>
            </w:pPr>
            <w:r>
              <w:rPr>
                <w:rFonts w:ascii="Times New Roman" w:hAnsi="Times New Roman" w:eastAsia="黑体"/>
                <w:b/>
                <w:sz w:val="16"/>
              </w:rPr>
              <w:t>系统/设备</w:t>
            </w:r>
          </w:p>
        </w:tc>
        <w:tc>
          <w:tcPr>
            <w:tcW w:w="2041" w:type="dxa"/>
            <w:shd w:val="clear" w:color="auto" w:fill="E7E6E6"/>
            <w:tcMar>
              <w:top w:w="60" w:type="dxa"/>
              <w:left w:w="80" w:type="dxa"/>
              <w:bottom w:w="60" w:type="dxa"/>
              <w:right w:w="80" w:type="dxa"/>
            </w:tcMar>
            <w:vAlign w:val="center"/>
          </w:tcPr>
          <w:p w14:paraId="6087FAE3">
            <w:pPr>
              <w:spacing w:after="0" w:line="240" w:lineRule="auto"/>
              <w:jc w:val="center"/>
            </w:pPr>
            <w:r>
              <w:rPr>
                <w:rFonts w:ascii="Times New Roman" w:hAnsi="Times New Roman" w:eastAsia="黑体"/>
                <w:b/>
                <w:sz w:val="16"/>
              </w:rPr>
              <w:t>典型故障或退化</w:t>
            </w:r>
          </w:p>
        </w:tc>
        <w:tc>
          <w:tcPr>
            <w:tcW w:w="2835" w:type="dxa"/>
            <w:shd w:val="clear" w:color="auto" w:fill="E7E6E6"/>
            <w:tcMar>
              <w:top w:w="60" w:type="dxa"/>
              <w:left w:w="80" w:type="dxa"/>
              <w:bottom w:w="60" w:type="dxa"/>
              <w:right w:w="80" w:type="dxa"/>
            </w:tcMar>
            <w:vAlign w:val="center"/>
          </w:tcPr>
          <w:p w14:paraId="6A2EB3AF">
            <w:pPr>
              <w:spacing w:after="0" w:line="240" w:lineRule="auto"/>
              <w:jc w:val="center"/>
            </w:pPr>
            <w:r>
              <w:rPr>
                <w:rFonts w:ascii="Times New Roman" w:hAnsi="Times New Roman" w:eastAsia="黑体"/>
                <w:b/>
                <w:sz w:val="16"/>
              </w:rPr>
              <w:t>主要影响</w:t>
            </w:r>
          </w:p>
        </w:tc>
        <w:tc>
          <w:tcPr>
            <w:tcW w:w="2835" w:type="dxa"/>
            <w:shd w:val="clear" w:color="auto" w:fill="E7E6E6"/>
            <w:tcMar>
              <w:top w:w="60" w:type="dxa"/>
              <w:left w:w="80" w:type="dxa"/>
              <w:bottom w:w="60" w:type="dxa"/>
              <w:right w:w="80" w:type="dxa"/>
            </w:tcMar>
            <w:vAlign w:val="center"/>
          </w:tcPr>
          <w:p w14:paraId="664790D2">
            <w:pPr>
              <w:spacing w:after="0" w:line="240" w:lineRule="auto"/>
              <w:jc w:val="center"/>
            </w:pPr>
            <w:r>
              <w:rPr>
                <w:rFonts w:ascii="Times New Roman" w:hAnsi="Times New Roman" w:eastAsia="黑体"/>
                <w:b/>
                <w:sz w:val="16"/>
              </w:rPr>
              <w:t>主要关联状态</w:t>
            </w:r>
          </w:p>
        </w:tc>
      </w:tr>
      <w:tr w14:paraId="4C2A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60" w:type="dxa"/>
              <w:left w:w="80" w:type="dxa"/>
              <w:bottom w:w="60" w:type="dxa"/>
              <w:right w:w="80" w:type="dxa"/>
            </w:tcMar>
            <w:vAlign w:val="center"/>
          </w:tcPr>
          <w:p w14:paraId="56382992">
            <w:pPr>
              <w:spacing w:after="0" w:line="240" w:lineRule="auto"/>
              <w:jc w:val="center"/>
            </w:pPr>
            <w:r>
              <w:rPr>
                <w:rFonts w:ascii="Times New Roman" w:hAnsi="Times New Roman" w:eastAsia="宋体"/>
                <w:sz w:val="16"/>
              </w:rPr>
              <w:t>汽轮机通流部分</w:t>
            </w:r>
          </w:p>
        </w:tc>
        <w:tc>
          <w:tcPr>
            <w:tcW w:w="2041" w:type="dxa"/>
            <w:tcMar>
              <w:top w:w="60" w:type="dxa"/>
              <w:left w:w="80" w:type="dxa"/>
              <w:bottom w:w="60" w:type="dxa"/>
              <w:right w:w="80" w:type="dxa"/>
            </w:tcMar>
            <w:vAlign w:val="center"/>
          </w:tcPr>
          <w:p w14:paraId="70F3C501">
            <w:pPr>
              <w:spacing w:after="0" w:line="240" w:lineRule="auto"/>
              <w:jc w:val="left"/>
            </w:pPr>
            <w:r>
              <w:rPr>
                <w:rFonts w:ascii="Times New Roman" w:hAnsi="Times New Roman" w:eastAsia="宋体"/>
                <w:sz w:val="16"/>
              </w:rPr>
              <w:t>通流沉积/通流能力退化</w:t>
            </w:r>
          </w:p>
        </w:tc>
        <w:tc>
          <w:tcPr>
            <w:tcW w:w="2835" w:type="dxa"/>
            <w:tcMar>
              <w:top w:w="60" w:type="dxa"/>
              <w:left w:w="80" w:type="dxa"/>
              <w:bottom w:w="60" w:type="dxa"/>
              <w:right w:w="80" w:type="dxa"/>
            </w:tcMar>
            <w:vAlign w:val="center"/>
          </w:tcPr>
          <w:p w14:paraId="55EB3CD9">
            <w:pPr>
              <w:spacing w:after="0" w:line="240" w:lineRule="auto"/>
              <w:jc w:val="left"/>
            </w:pPr>
            <w:r>
              <w:rPr>
                <w:rFonts w:ascii="Times New Roman" w:hAnsi="Times New Roman" w:eastAsia="宋体"/>
                <w:sz w:val="16"/>
              </w:rPr>
              <w:t>有效通流面积与级间压力分布变化</w:t>
            </w:r>
          </w:p>
        </w:tc>
        <w:tc>
          <w:tcPr>
            <w:tcW w:w="2835" w:type="dxa"/>
            <w:tcMar>
              <w:top w:w="60" w:type="dxa"/>
              <w:left w:w="80" w:type="dxa"/>
              <w:bottom w:w="60" w:type="dxa"/>
              <w:right w:w="80" w:type="dxa"/>
            </w:tcMar>
            <w:vAlign w:val="center"/>
          </w:tcPr>
          <w:p w14:paraId="7778A593">
            <w:pPr>
              <w:spacing w:after="0" w:line="240" w:lineRule="auto"/>
              <w:jc w:val="left"/>
            </w:pPr>
            <w:r>
              <w:rPr>
                <w:rFonts w:ascii="Times New Roman" w:hAnsi="Times New Roman" w:eastAsia="宋体"/>
                <w:sz w:val="16"/>
              </w:rPr>
              <w:t>级组压力、排汽状态、流量与效率相关参数</w:t>
            </w:r>
          </w:p>
        </w:tc>
      </w:tr>
      <w:tr w14:paraId="46E2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60" w:type="dxa"/>
              <w:left w:w="80" w:type="dxa"/>
              <w:bottom w:w="60" w:type="dxa"/>
              <w:right w:w="80" w:type="dxa"/>
            </w:tcMar>
            <w:vAlign w:val="center"/>
          </w:tcPr>
          <w:p w14:paraId="63BBC938">
            <w:pPr>
              <w:spacing w:after="0" w:line="240" w:lineRule="auto"/>
              <w:jc w:val="center"/>
            </w:pPr>
            <w:r>
              <w:rPr>
                <w:rFonts w:ascii="Times New Roman" w:hAnsi="Times New Roman" w:eastAsia="宋体"/>
                <w:sz w:val="16"/>
              </w:rPr>
              <w:t>汽封及缸间接口</w:t>
            </w:r>
          </w:p>
        </w:tc>
        <w:tc>
          <w:tcPr>
            <w:tcW w:w="2041" w:type="dxa"/>
            <w:tcMar>
              <w:top w:w="60" w:type="dxa"/>
              <w:left w:w="80" w:type="dxa"/>
              <w:bottom w:w="60" w:type="dxa"/>
              <w:right w:w="80" w:type="dxa"/>
            </w:tcMar>
            <w:vAlign w:val="center"/>
          </w:tcPr>
          <w:p w14:paraId="0AAEF877">
            <w:pPr>
              <w:spacing w:after="0" w:line="240" w:lineRule="auto"/>
              <w:jc w:val="left"/>
            </w:pPr>
            <w:r>
              <w:rPr>
                <w:rFonts w:ascii="Times New Roman" w:hAnsi="Times New Roman" w:eastAsia="宋体"/>
                <w:sz w:val="16"/>
              </w:rPr>
              <w:t>汽封/HP-IP泄漏</w:t>
            </w:r>
          </w:p>
        </w:tc>
        <w:tc>
          <w:tcPr>
            <w:tcW w:w="2835" w:type="dxa"/>
            <w:tcMar>
              <w:top w:w="60" w:type="dxa"/>
              <w:left w:w="80" w:type="dxa"/>
              <w:bottom w:w="60" w:type="dxa"/>
              <w:right w:w="80" w:type="dxa"/>
            </w:tcMar>
            <w:vAlign w:val="center"/>
          </w:tcPr>
          <w:p w14:paraId="2B6C250B">
            <w:pPr>
              <w:spacing w:after="0" w:line="240" w:lineRule="auto"/>
              <w:jc w:val="left"/>
            </w:pPr>
            <w:r>
              <w:rPr>
                <w:rFonts w:ascii="Times New Roman" w:hAnsi="Times New Roman" w:eastAsia="宋体"/>
                <w:sz w:val="16"/>
              </w:rPr>
              <w:t>无效蒸汽旁路与相邻汽缸热力状态改变</w:t>
            </w:r>
          </w:p>
        </w:tc>
        <w:tc>
          <w:tcPr>
            <w:tcW w:w="2835" w:type="dxa"/>
            <w:tcMar>
              <w:top w:w="60" w:type="dxa"/>
              <w:left w:w="80" w:type="dxa"/>
              <w:bottom w:w="60" w:type="dxa"/>
              <w:right w:w="80" w:type="dxa"/>
            </w:tcMar>
            <w:vAlign w:val="center"/>
          </w:tcPr>
          <w:p w14:paraId="3A9076E2">
            <w:pPr>
              <w:spacing w:after="0" w:line="240" w:lineRule="auto"/>
              <w:jc w:val="left"/>
            </w:pPr>
            <w:r>
              <w:rPr>
                <w:rFonts w:ascii="Times New Roman" w:hAnsi="Times New Roman" w:eastAsia="宋体"/>
                <w:sz w:val="16"/>
              </w:rPr>
              <w:t>汽缸压力温度、再热及排汽相关参数</w:t>
            </w:r>
          </w:p>
        </w:tc>
      </w:tr>
      <w:tr w14:paraId="0538C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60" w:type="dxa"/>
              <w:left w:w="80" w:type="dxa"/>
              <w:bottom w:w="60" w:type="dxa"/>
              <w:right w:w="80" w:type="dxa"/>
            </w:tcMar>
            <w:vAlign w:val="center"/>
          </w:tcPr>
          <w:p w14:paraId="7FCEF721">
            <w:pPr>
              <w:spacing w:after="0" w:line="240" w:lineRule="auto"/>
              <w:jc w:val="center"/>
            </w:pPr>
            <w:r>
              <w:rPr>
                <w:rFonts w:ascii="Times New Roman" w:hAnsi="Times New Roman" w:eastAsia="宋体"/>
                <w:sz w:val="16"/>
              </w:rPr>
              <w:t>抽汽回热系统</w:t>
            </w:r>
          </w:p>
        </w:tc>
        <w:tc>
          <w:tcPr>
            <w:tcW w:w="2041" w:type="dxa"/>
            <w:tcMar>
              <w:top w:w="60" w:type="dxa"/>
              <w:left w:w="80" w:type="dxa"/>
              <w:bottom w:w="60" w:type="dxa"/>
              <w:right w:w="80" w:type="dxa"/>
            </w:tcMar>
            <w:vAlign w:val="center"/>
          </w:tcPr>
          <w:p w14:paraId="01243B17">
            <w:pPr>
              <w:spacing w:after="0" w:line="240" w:lineRule="auto"/>
              <w:jc w:val="left"/>
            </w:pPr>
            <w:r>
              <w:rPr>
                <w:rFonts w:ascii="Times New Roman" w:hAnsi="Times New Roman" w:eastAsia="宋体"/>
                <w:sz w:val="16"/>
              </w:rPr>
              <w:t>抽汽支路泄漏</w:t>
            </w:r>
          </w:p>
        </w:tc>
        <w:tc>
          <w:tcPr>
            <w:tcW w:w="2835" w:type="dxa"/>
            <w:tcMar>
              <w:top w:w="60" w:type="dxa"/>
              <w:left w:w="80" w:type="dxa"/>
              <w:bottom w:w="60" w:type="dxa"/>
              <w:right w:w="80" w:type="dxa"/>
            </w:tcMar>
            <w:vAlign w:val="center"/>
          </w:tcPr>
          <w:p w14:paraId="5A21CD87">
            <w:pPr>
              <w:spacing w:after="0" w:line="240" w:lineRule="auto"/>
              <w:jc w:val="left"/>
            </w:pPr>
            <w:r>
              <w:rPr>
                <w:rFonts w:ascii="Times New Roman" w:hAnsi="Times New Roman" w:eastAsia="宋体"/>
                <w:sz w:val="16"/>
              </w:rPr>
              <w:t>抽汽量及回热条件改变</w:t>
            </w:r>
          </w:p>
        </w:tc>
        <w:tc>
          <w:tcPr>
            <w:tcW w:w="2835" w:type="dxa"/>
            <w:tcMar>
              <w:top w:w="60" w:type="dxa"/>
              <w:left w:w="80" w:type="dxa"/>
              <w:bottom w:w="60" w:type="dxa"/>
              <w:right w:w="80" w:type="dxa"/>
            </w:tcMar>
            <w:vAlign w:val="center"/>
          </w:tcPr>
          <w:p w14:paraId="2AEC9CEF">
            <w:pPr>
              <w:spacing w:after="0" w:line="240" w:lineRule="auto"/>
              <w:jc w:val="left"/>
            </w:pPr>
            <w:r>
              <w:rPr>
                <w:rFonts w:ascii="Times New Roman" w:hAnsi="Times New Roman" w:eastAsia="宋体"/>
                <w:sz w:val="16"/>
              </w:rPr>
              <w:t>抽汽压力温度、加热器汽侧状态</w:t>
            </w:r>
          </w:p>
        </w:tc>
      </w:tr>
      <w:tr w14:paraId="43326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60" w:type="dxa"/>
              <w:left w:w="80" w:type="dxa"/>
              <w:bottom w:w="60" w:type="dxa"/>
              <w:right w:w="80" w:type="dxa"/>
            </w:tcMar>
            <w:vAlign w:val="center"/>
          </w:tcPr>
          <w:p w14:paraId="124091BE">
            <w:pPr>
              <w:spacing w:after="0" w:line="240" w:lineRule="auto"/>
              <w:jc w:val="center"/>
            </w:pPr>
            <w:r>
              <w:rPr>
                <w:rFonts w:ascii="Times New Roman" w:hAnsi="Times New Roman" w:eastAsia="宋体"/>
                <w:sz w:val="16"/>
              </w:rPr>
              <w:t>高低压加热器</w:t>
            </w:r>
          </w:p>
        </w:tc>
        <w:tc>
          <w:tcPr>
            <w:tcW w:w="2041" w:type="dxa"/>
            <w:tcMar>
              <w:top w:w="60" w:type="dxa"/>
              <w:left w:w="80" w:type="dxa"/>
              <w:bottom w:w="60" w:type="dxa"/>
              <w:right w:w="80" w:type="dxa"/>
            </w:tcMar>
            <w:vAlign w:val="center"/>
          </w:tcPr>
          <w:p w14:paraId="7BAA6556">
            <w:pPr>
              <w:spacing w:after="0" w:line="240" w:lineRule="auto"/>
              <w:jc w:val="left"/>
            </w:pPr>
            <w:r>
              <w:rPr>
                <w:rFonts w:ascii="Times New Roman" w:hAnsi="Times New Roman" w:eastAsia="宋体"/>
                <w:sz w:val="16"/>
              </w:rPr>
              <w:t>内部泄漏/换热异常</w:t>
            </w:r>
          </w:p>
        </w:tc>
        <w:tc>
          <w:tcPr>
            <w:tcW w:w="2835" w:type="dxa"/>
            <w:tcMar>
              <w:top w:w="60" w:type="dxa"/>
              <w:left w:w="80" w:type="dxa"/>
              <w:bottom w:w="60" w:type="dxa"/>
              <w:right w:w="80" w:type="dxa"/>
            </w:tcMar>
            <w:vAlign w:val="center"/>
          </w:tcPr>
          <w:p w14:paraId="3F7E2064">
            <w:pPr>
              <w:spacing w:after="0" w:line="240" w:lineRule="auto"/>
              <w:jc w:val="left"/>
            </w:pPr>
            <w:r>
              <w:rPr>
                <w:rFonts w:ascii="Times New Roman" w:hAnsi="Times New Roman" w:eastAsia="宋体"/>
                <w:sz w:val="16"/>
              </w:rPr>
              <w:t>回热换热与疏水状态偏离正常</w:t>
            </w:r>
          </w:p>
        </w:tc>
        <w:tc>
          <w:tcPr>
            <w:tcW w:w="2835" w:type="dxa"/>
            <w:tcMar>
              <w:top w:w="60" w:type="dxa"/>
              <w:left w:w="80" w:type="dxa"/>
              <w:bottom w:w="60" w:type="dxa"/>
              <w:right w:w="80" w:type="dxa"/>
            </w:tcMar>
            <w:vAlign w:val="center"/>
          </w:tcPr>
          <w:p w14:paraId="6C710F82">
            <w:pPr>
              <w:spacing w:after="0" w:line="240" w:lineRule="auto"/>
              <w:jc w:val="left"/>
            </w:pPr>
            <w:r>
              <w:rPr>
                <w:rFonts w:ascii="Times New Roman" w:hAnsi="Times New Roman" w:eastAsia="宋体"/>
                <w:sz w:val="16"/>
              </w:rPr>
              <w:t>水位、疏水温度、进出口水温及汽侧参数</w:t>
            </w:r>
          </w:p>
        </w:tc>
      </w:tr>
      <w:tr w14:paraId="307B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Mar>
              <w:top w:w="60" w:type="dxa"/>
              <w:left w:w="80" w:type="dxa"/>
              <w:bottom w:w="60" w:type="dxa"/>
              <w:right w:w="80" w:type="dxa"/>
            </w:tcMar>
            <w:vAlign w:val="center"/>
          </w:tcPr>
          <w:p w14:paraId="335BDA75">
            <w:pPr>
              <w:spacing w:after="0" w:line="240" w:lineRule="auto"/>
              <w:jc w:val="center"/>
            </w:pPr>
            <w:r>
              <w:rPr>
                <w:rFonts w:ascii="Times New Roman" w:hAnsi="Times New Roman" w:eastAsia="宋体"/>
                <w:sz w:val="16"/>
              </w:rPr>
              <w:t>凝汽冷端</w:t>
            </w:r>
          </w:p>
        </w:tc>
        <w:tc>
          <w:tcPr>
            <w:tcW w:w="2041" w:type="dxa"/>
            <w:tcMar>
              <w:top w:w="60" w:type="dxa"/>
              <w:left w:w="80" w:type="dxa"/>
              <w:bottom w:w="60" w:type="dxa"/>
              <w:right w:w="80" w:type="dxa"/>
            </w:tcMar>
            <w:vAlign w:val="center"/>
          </w:tcPr>
          <w:p w14:paraId="68798A49">
            <w:pPr>
              <w:spacing w:after="0" w:line="240" w:lineRule="auto"/>
              <w:jc w:val="left"/>
            </w:pPr>
            <w:r>
              <w:rPr>
                <w:rFonts w:ascii="Times New Roman" w:hAnsi="Times New Roman" w:eastAsia="宋体"/>
                <w:sz w:val="16"/>
              </w:rPr>
              <w:t>凝汽器污垢/真空异常</w:t>
            </w:r>
          </w:p>
        </w:tc>
        <w:tc>
          <w:tcPr>
            <w:tcW w:w="2835" w:type="dxa"/>
            <w:tcMar>
              <w:top w:w="60" w:type="dxa"/>
              <w:left w:w="80" w:type="dxa"/>
              <w:bottom w:w="60" w:type="dxa"/>
              <w:right w:w="80" w:type="dxa"/>
            </w:tcMar>
            <w:vAlign w:val="center"/>
          </w:tcPr>
          <w:p w14:paraId="04BA7E3C">
            <w:pPr>
              <w:spacing w:after="0" w:line="240" w:lineRule="auto"/>
              <w:jc w:val="left"/>
            </w:pPr>
            <w:r>
              <w:rPr>
                <w:rFonts w:ascii="Times New Roman" w:hAnsi="Times New Roman" w:eastAsia="宋体"/>
                <w:sz w:val="16"/>
              </w:rPr>
              <w:t>传热恶化、背压及冷端运行状态变化</w:t>
            </w:r>
          </w:p>
        </w:tc>
        <w:tc>
          <w:tcPr>
            <w:tcW w:w="2835" w:type="dxa"/>
            <w:tcMar>
              <w:top w:w="60" w:type="dxa"/>
              <w:left w:w="80" w:type="dxa"/>
              <w:bottom w:w="60" w:type="dxa"/>
              <w:right w:w="80" w:type="dxa"/>
            </w:tcMar>
            <w:vAlign w:val="center"/>
          </w:tcPr>
          <w:p w14:paraId="749AC6B4">
            <w:pPr>
              <w:spacing w:after="0" w:line="240" w:lineRule="auto"/>
              <w:jc w:val="left"/>
            </w:pPr>
            <w:r>
              <w:rPr>
                <w:rFonts w:ascii="Times New Roman" w:hAnsi="Times New Roman" w:eastAsia="宋体"/>
                <w:sz w:val="16"/>
              </w:rPr>
              <w:t>凝汽器压力温度、循环水及真空系统参数</w:t>
            </w:r>
          </w:p>
        </w:tc>
      </w:tr>
    </w:tbl>
    <w:p w14:paraId="2F957C06">
      <w:pPr>
        <w:spacing w:after="0"/>
      </w:pPr>
    </w:p>
    <w:p w14:paraId="1C356EC2">
      <w:pPr>
        <w:pStyle w:val="167"/>
      </w:pPr>
      <w:r>
        <w:rPr>
          <w:rFonts w:ascii="Times New Roman" w:hAnsi="Times New Roman" w:eastAsia="黑体"/>
          <w:b/>
          <w:sz w:val="21"/>
        </w:rPr>
        <w:t>3.2.2 基于运行生产资料的故障知识图谱构建</w:t>
      </w:r>
    </w:p>
    <w:p w14:paraId="22A2D428">
      <w:pPr>
        <w:pStyle w:val="164"/>
      </w:pPr>
      <w:r>
        <w:rPr>
          <w:rFonts w:ascii="Times New Roman" w:hAnsi="Times New Roman" w:eastAsia="宋体"/>
          <w:b w:val="0"/>
          <w:sz w:val="21"/>
        </w:rPr>
        <w:t>知识图谱构建以机组级结构资料和外部故障知识资料两部分为基础。机组DCS点表、设备输入输出点清单和系统边界资料用于确定设备、参数及直接热力接口；同行评议论文、标准及公开运行技术资料用于补充具有通用物理意义的故障机理、异常现象和关联监测参数。构建过程中优先保持机组实际结构信息，当外部资料中的设备连接与本机结构不一致时，仅保留可迁移的故障机理，不直接将外部拓扑写入主图谱。</w:t>
      </w:r>
    </w:p>
    <w:p w14:paraId="7B9D0AAE">
      <w:pPr>
        <w:pStyle w:val="164"/>
      </w:pPr>
      <w:r>
        <w:rPr>
          <w:rFonts w:ascii="Times New Roman" w:hAnsi="Times New Roman" w:eastAsia="宋体"/>
          <w:b w:val="0"/>
          <w:sz w:val="21"/>
        </w:rPr>
        <w:t>对于非结构化文本，首先利用大语言模型识别实体并生成候选三元组，再依据实体类型、关系方向、设备兼容性和证据来源进行规则校核。对同义、缩写或表达差异较大的实体名称，采用句向量Embedding计算语义相似度辅助标准化和实体对齐[17]。经人工审查后，将符合规则且证据一致的关系写入主知识图谱；存在资料冲突或机组接口尚未核实的关系保留为待核项，不进入后续GCN参数图。该流程与“候选抽取—领域约束—实体对齐—证据审查”的知识构建思路一致，但所有设备拓扑和测点映射均以本文汽轮机系统资料为准。</w:t>
      </w:r>
    </w:p>
    <w:p w14:paraId="2289A0F8">
      <w:pPr>
        <w:pStyle w:val="164"/>
      </w:pPr>
      <w:r>
        <w:rPr>
          <w:rFonts w:ascii="Times New Roman" w:hAnsi="Times New Roman" w:eastAsia="宋体"/>
          <w:b w:val="0"/>
          <w:sz w:val="21"/>
        </w:rPr>
        <w:t>当前审计知识库包含127个标准实体和123条候选关系，其中121条关系通过审核进入主知识图谱，2条存在资料差异的候选关系保留待核。主图谱覆盖主蒸汽—VHP—一次再热—HP—二次再热—IP—LP—凝汽器主通流，同时包含经核验的抽汽回热、给水/小机及冷端设备关系，并将典型故障与相应异常状态和监测参数相连。</w:t>
      </w:r>
    </w:p>
    <w:p w14:paraId="62E11E9B">
      <w:pPr>
        <w:keepNext/>
        <w:spacing w:before="80" w:after="40"/>
        <w:jc w:val="center"/>
      </w:pPr>
      <w:r>
        <w:rPr>
          <w:rFonts w:ascii="Times New Roman" w:hAnsi="Times New Roman" w:eastAsia="黑体"/>
          <w:b/>
          <w:sz w:val="18"/>
        </w:rPr>
        <w:t>表5  汽轮机故障知识图谱审计结果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701"/>
        <w:gridCol w:w="4535"/>
      </w:tblGrid>
      <w:tr w14:paraId="100C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E7E6E6"/>
            <w:tcMar>
              <w:top w:w="60" w:type="dxa"/>
              <w:left w:w="80" w:type="dxa"/>
              <w:bottom w:w="60" w:type="dxa"/>
              <w:right w:w="80" w:type="dxa"/>
            </w:tcMar>
            <w:vAlign w:val="center"/>
          </w:tcPr>
          <w:p w14:paraId="7A39CCAC">
            <w:pPr>
              <w:spacing w:after="0" w:line="240" w:lineRule="auto"/>
              <w:jc w:val="center"/>
            </w:pPr>
            <w:r>
              <w:rPr>
                <w:rFonts w:ascii="Times New Roman" w:hAnsi="Times New Roman" w:eastAsia="黑体"/>
                <w:b/>
                <w:sz w:val="18"/>
              </w:rPr>
              <w:t>项目</w:t>
            </w:r>
          </w:p>
        </w:tc>
        <w:tc>
          <w:tcPr>
            <w:tcW w:w="1701" w:type="dxa"/>
            <w:shd w:val="clear" w:color="auto" w:fill="E7E6E6"/>
            <w:tcMar>
              <w:top w:w="60" w:type="dxa"/>
              <w:left w:w="80" w:type="dxa"/>
              <w:bottom w:w="60" w:type="dxa"/>
              <w:right w:w="80" w:type="dxa"/>
            </w:tcMar>
            <w:vAlign w:val="center"/>
          </w:tcPr>
          <w:p w14:paraId="4CB2B1DC">
            <w:pPr>
              <w:spacing w:after="0" w:line="240" w:lineRule="auto"/>
              <w:jc w:val="center"/>
            </w:pPr>
            <w:r>
              <w:rPr>
                <w:rFonts w:ascii="Times New Roman" w:hAnsi="Times New Roman" w:eastAsia="黑体"/>
                <w:b/>
                <w:sz w:val="18"/>
              </w:rPr>
              <w:t>数量/状态</w:t>
            </w:r>
          </w:p>
        </w:tc>
        <w:tc>
          <w:tcPr>
            <w:tcW w:w="4535" w:type="dxa"/>
            <w:shd w:val="clear" w:color="auto" w:fill="E7E6E6"/>
            <w:tcMar>
              <w:top w:w="60" w:type="dxa"/>
              <w:left w:w="80" w:type="dxa"/>
              <w:bottom w:w="60" w:type="dxa"/>
              <w:right w:w="80" w:type="dxa"/>
            </w:tcMar>
            <w:vAlign w:val="center"/>
          </w:tcPr>
          <w:p w14:paraId="2487D7F1">
            <w:pPr>
              <w:spacing w:after="0" w:line="240" w:lineRule="auto"/>
              <w:jc w:val="center"/>
            </w:pPr>
            <w:r>
              <w:rPr>
                <w:rFonts w:ascii="Times New Roman" w:hAnsi="Times New Roman" w:eastAsia="黑体"/>
                <w:b/>
                <w:sz w:val="18"/>
              </w:rPr>
              <w:t>说明</w:t>
            </w:r>
          </w:p>
        </w:tc>
      </w:tr>
      <w:tr w14:paraId="4347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60" w:type="dxa"/>
              <w:left w:w="80" w:type="dxa"/>
              <w:bottom w:w="60" w:type="dxa"/>
              <w:right w:w="80" w:type="dxa"/>
            </w:tcMar>
            <w:vAlign w:val="center"/>
          </w:tcPr>
          <w:p w14:paraId="53213442">
            <w:pPr>
              <w:spacing w:after="0" w:line="240" w:lineRule="auto"/>
              <w:jc w:val="center"/>
            </w:pPr>
            <w:r>
              <w:rPr>
                <w:rFonts w:ascii="Times New Roman" w:hAnsi="Times New Roman" w:eastAsia="宋体"/>
                <w:sz w:val="18"/>
              </w:rPr>
              <w:t>标准实体</w:t>
            </w:r>
          </w:p>
        </w:tc>
        <w:tc>
          <w:tcPr>
            <w:tcW w:w="1701" w:type="dxa"/>
            <w:tcMar>
              <w:top w:w="60" w:type="dxa"/>
              <w:left w:w="80" w:type="dxa"/>
              <w:bottom w:w="60" w:type="dxa"/>
              <w:right w:w="80" w:type="dxa"/>
            </w:tcMar>
            <w:vAlign w:val="center"/>
          </w:tcPr>
          <w:p w14:paraId="32563B73">
            <w:pPr>
              <w:spacing w:after="0" w:line="240" w:lineRule="auto"/>
              <w:jc w:val="left"/>
            </w:pPr>
            <w:r>
              <w:rPr>
                <w:rFonts w:ascii="Times New Roman" w:hAnsi="Times New Roman" w:eastAsia="宋体"/>
                <w:sz w:val="18"/>
              </w:rPr>
              <w:t>127</w:t>
            </w:r>
          </w:p>
        </w:tc>
        <w:tc>
          <w:tcPr>
            <w:tcW w:w="4535" w:type="dxa"/>
            <w:tcMar>
              <w:top w:w="60" w:type="dxa"/>
              <w:left w:w="80" w:type="dxa"/>
              <w:bottom w:w="60" w:type="dxa"/>
              <w:right w:w="80" w:type="dxa"/>
            </w:tcMar>
            <w:vAlign w:val="center"/>
          </w:tcPr>
          <w:p w14:paraId="5AC57584">
            <w:pPr>
              <w:spacing w:after="0" w:line="240" w:lineRule="auto"/>
              <w:jc w:val="left"/>
            </w:pPr>
            <w:r>
              <w:rPr>
                <w:rFonts w:ascii="Times New Roman" w:hAnsi="Times New Roman" w:eastAsia="宋体"/>
                <w:sz w:val="18"/>
              </w:rPr>
              <w:t>设备、参数、异常、故障、处置等标准实体</w:t>
            </w:r>
          </w:p>
        </w:tc>
      </w:tr>
      <w:tr w14:paraId="630E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60" w:type="dxa"/>
              <w:left w:w="80" w:type="dxa"/>
              <w:bottom w:w="60" w:type="dxa"/>
              <w:right w:w="80" w:type="dxa"/>
            </w:tcMar>
            <w:vAlign w:val="center"/>
          </w:tcPr>
          <w:p w14:paraId="0AED7136">
            <w:pPr>
              <w:spacing w:after="0" w:line="240" w:lineRule="auto"/>
              <w:jc w:val="center"/>
            </w:pPr>
            <w:r>
              <w:rPr>
                <w:rFonts w:ascii="Times New Roman" w:hAnsi="Times New Roman" w:eastAsia="宋体"/>
                <w:sz w:val="18"/>
              </w:rPr>
              <w:t>候选关系</w:t>
            </w:r>
          </w:p>
        </w:tc>
        <w:tc>
          <w:tcPr>
            <w:tcW w:w="1701" w:type="dxa"/>
            <w:tcMar>
              <w:top w:w="60" w:type="dxa"/>
              <w:left w:w="80" w:type="dxa"/>
              <w:bottom w:w="60" w:type="dxa"/>
              <w:right w:w="80" w:type="dxa"/>
            </w:tcMar>
            <w:vAlign w:val="center"/>
          </w:tcPr>
          <w:p w14:paraId="65AE5939">
            <w:pPr>
              <w:spacing w:after="0" w:line="240" w:lineRule="auto"/>
              <w:jc w:val="left"/>
            </w:pPr>
            <w:r>
              <w:rPr>
                <w:rFonts w:ascii="Times New Roman" w:hAnsi="Times New Roman" w:eastAsia="宋体"/>
                <w:sz w:val="18"/>
              </w:rPr>
              <w:t>123</w:t>
            </w:r>
          </w:p>
        </w:tc>
        <w:tc>
          <w:tcPr>
            <w:tcW w:w="4535" w:type="dxa"/>
            <w:tcMar>
              <w:top w:w="60" w:type="dxa"/>
              <w:left w:w="80" w:type="dxa"/>
              <w:bottom w:w="60" w:type="dxa"/>
              <w:right w:w="80" w:type="dxa"/>
            </w:tcMar>
            <w:vAlign w:val="center"/>
          </w:tcPr>
          <w:p w14:paraId="09F8D858">
            <w:pPr>
              <w:spacing w:after="0" w:line="240" w:lineRule="auto"/>
              <w:jc w:val="left"/>
            </w:pPr>
            <w:r>
              <w:rPr>
                <w:rFonts w:ascii="Times New Roman" w:hAnsi="Times New Roman" w:eastAsia="宋体"/>
                <w:sz w:val="18"/>
              </w:rPr>
              <w:t>由结构资料和文本资料形成的候选关系</w:t>
            </w:r>
          </w:p>
        </w:tc>
      </w:tr>
      <w:tr w14:paraId="7082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60" w:type="dxa"/>
              <w:left w:w="80" w:type="dxa"/>
              <w:bottom w:w="60" w:type="dxa"/>
              <w:right w:w="80" w:type="dxa"/>
            </w:tcMar>
            <w:vAlign w:val="center"/>
          </w:tcPr>
          <w:p w14:paraId="203A7509">
            <w:pPr>
              <w:spacing w:after="0" w:line="240" w:lineRule="auto"/>
            </w:pPr>
            <w:r>
              <w:rPr>
                <w:rFonts w:ascii="Times New Roman" w:hAnsi="Times New Roman" w:eastAsia="宋体"/>
                <w:sz w:val="18"/>
              </w:rPr>
              <w:t>入主图关系</w:t>
            </w:r>
          </w:p>
        </w:tc>
        <w:tc>
          <w:tcPr>
            <w:tcW w:w="1701" w:type="dxa"/>
            <w:tcMar>
              <w:top w:w="60" w:type="dxa"/>
              <w:left w:w="80" w:type="dxa"/>
              <w:bottom w:w="60" w:type="dxa"/>
              <w:right w:w="80" w:type="dxa"/>
            </w:tcMar>
            <w:vAlign w:val="center"/>
          </w:tcPr>
          <w:p w14:paraId="358E0F17">
            <w:pPr>
              <w:spacing w:after="0" w:line="240" w:lineRule="auto"/>
              <w:jc w:val="left"/>
            </w:pPr>
            <w:r>
              <w:rPr>
                <w:rFonts w:ascii="Times New Roman" w:hAnsi="Times New Roman" w:eastAsia="宋体"/>
                <w:sz w:val="18"/>
              </w:rPr>
              <w:t>121</w:t>
            </w:r>
          </w:p>
        </w:tc>
        <w:tc>
          <w:tcPr>
            <w:tcW w:w="4535" w:type="dxa"/>
            <w:tcMar>
              <w:top w:w="60" w:type="dxa"/>
              <w:left w:w="80" w:type="dxa"/>
              <w:bottom w:w="60" w:type="dxa"/>
              <w:right w:w="80" w:type="dxa"/>
            </w:tcMar>
            <w:vAlign w:val="center"/>
          </w:tcPr>
          <w:p w14:paraId="435BAFAE">
            <w:pPr>
              <w:spacing w:after="0" w:line="240" w:lineRule="auto"/>
              <w:jc w:val="left"/>
            </w:pPr>
            <w:r>
              <w:rPr>
                <w:rFonts w:ascii="Times New Roman" w:hAnsi="Times New Roman" w:eastAsia="宋体"/>
                <w:sz w:val="18"/>
              </w:rPr>
              <w:t>完成类型、方向、设备兼容性与证据审核</w:t>
            </w:r>
          </w:p>
        </w:tc>
      </w:tr>
      <w:tr w14:paraId="221F7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60" w:type="dxa"/>
              <w:left w:w="80" w:type="dxa"/>
              <w:bottom w:w="60" w:type="dxa"/>
              <w:right w:w="80" w:type="dxa"/>
            </w:tcMar>
            <w:vAlign w:val="center"/>
          </w:tcPr>
          <w:p w14:paraId="6F9BD490">
            <w:pPr>
              <w:spacing w:after="0" w:line="240" w:lineRule="auto"/>
            </w:pPr>
            <w:r>
              <w:rPr>
                <w:rFonts w:ascii="Times New Roman" w:hAnsi="Times New Roman" w:eastAsia="宋体"/>
                <w:sz w:val="18"/>
              </w:rPr>
              <w:t>待核关系</w:t>
            </w:r>
          </w:p>
        </w:tc>
        <w:tc>
          <w:tcPr>
            <w:tcW w:w="1701" w:type="dxa"/>
            <w:tcMar>
              <w:top w:w="60" w:type="dxa"/>
              <w:left w:w="80" w:type="dxa"/>
              <w:bottom w:w="60" w:type="dxa"/>
              <w:right w:w="80" w:type="dxa"/>
            </w:tcMar>
            <w:vAlign w:val="center"/>
          </w:tcPr>
          <w:p w14:paraId="4CBC76AA">
            <w:pPr>
              <w:spacing w:after="0" w:line="240" w:lineRule="auto"/>
              <w:jc w:val="left"/>
            </w:pPr>
            <w:r>
              <w:rPr>
                <w:rFonts w:ascii="Times New Roman" w:hAnsi="Times New Roman" w:eastAsia="宋体"/>
                <w:sz w:val="18"/>
              </w:rPr>
              <w:t>2</w:t>
            </w:r>
          </w:p>
        </w:tc>
        <w:tc>
          <w:tcPr>
            <w:tcW w:w="4535" w:type="dxa"/>
            <w:tcMar>
              <w:top w:w="60" w:type="dxa"/>
              <w:left w:w="80" w:type="dxa"/>
              <w:bottom w:w="60" w:type="dxa"/>
              <w:right w:w="80" w:type="dxa"/>
            </w:tcMar>
            <w:vAlign w:val="center"/>
          </w:tcPr>
          <w:p w14:paraId="7D06BCE6">
            <w:pPr>
              <w:spacing w:after="0" w:line="240" w:lineRule="auto"/>
              <w:jc w:val="left"/>
            </w:pPr>
            <w:r>
              <w:rPr>
                <w:rFonts w:ascii="Times New Roman" w:hAnsi="Times New Roman" w:eastAsia="宋体"/>
                <w:sz w:val="18"/>
              </w:rPr>
              <w:t>资料存在差异，暂不进入GCN投影边</w:t>
            </w:r>
          </w:p>
        </w:tc>
      </w:tr>
    </w:tbl>
    <w:p w14:paraId="166C4D8A">
      <w:pPr>
        <w:spacing w:after="0"/>
      </w:pPr>
    </w:p>
    <w:p w14:paraId="307E6094">
      <w:pPr>
        <w:keepNext/>
        <w:spacing w:before="80" w:after="40"/>
        <w:jc w:val="center"/>
      </w:pPr>
      <w:r>
        <w:rPr>
          <w:rFonts w:ascii="Times New Roman" w:hAnsi="Times New Roman" w:eastAsia="宋体"/>
          <w:i/>
          <w:sz w:val="18"/>
        </w:rPr>
        <w:t>【图待补：汽轮机系统故障知识图谱构建流程及系统级局部图；DCS/IO/运行资料→候选三元组→校核→实体对齐→KG】</w:t>
      </w:r>
    </w:p>
    <w:p w14:paraId="2E648516">
      <w:pPr>
        <w:pStyle w:val="167"/>
      </w:pPr>
      <w:r>
        <w:rPr>
          <w:rFonts w:ascii="Times New Roman" w:hAnsi="Times New Roman" w:eastAsia="黑体"/>
          <w:b/>
          <w:sz w:val="21"/>
        </w:rPr>
        <w:t>3.2.3 KG-GCN模型输入构建</w:t>
      </w:r>
    </w:p>
    <w:p w14:paraId="49B2E195">
      <w:pPr>
        <w:pStyle w:val="164"/>
      </w:pPr>
      <w:r>
        <w:rPr>
          <w:rFonts w:ascii="Times New Roman" w:hAnsi="Times New Roman" w:eastAsia="宋体"/>
          <w:b w:val="0"/>
          <w:sz w:val="21"/>
        </w:rPr>
        <w:t>系统级知识图谱包含设备、故障、异常等多类语义实体，而GCN需要加载可连续获得的数值特征。因此，首先建立知识图谱参数实体与实际DCS状态量之间的一一映射，并根据具体诊断任务从系统图谱中抽取可观测参数及其经核验关系，形成任务参数子图G_p=(V_p,E_p)。其邻接矩阵记为A_p，经加入自环和对称归一化得到Ã_p。</w:t>
      </w:r>
    </w:p>
    <w:p w14:paraId="5762A881">
      <w:pPr>
        <w:pStyle w:val="164"/>
      </w:pPr>
      <w:r>
        <w:rPr>
          <w:rFonts w:ascii="Times New Roman" w:hAnsi="Times New Roman" w:eastAsia="宋体"/>
          <w:b w:val="0"/>
          <w:sz w:val="21"/>
        </w:rPr>
        <w:t>GCN的节点数值特征来自第二节状态监测模型。对参数节点i，在时刻t定义状态偏差为</w:t>
      </w:r>
    </w:p>
    <w:p w14:paraId="23A7302D">
      <w:pPr>
        <w:spacing w:before="40" w:after="40"/>
        <w:jc w:val="center"/>
      </w:pPr>
      <w:r>
        <w:rPr>
          <w:rFonts w:ascii="Cambria Math" w:hAnsi="Cambria Math" w:eastAsia="Cambria Math"/>
          <w:sz w:val="21"/>
        </w:rPr>
        <w:t>eᵢ(t) = yᵢ(t) − ŷᵢ(t)</w:t>
      </w:r>
    </w:p>
    <w:p w14:paraId="7F90125B">
      <w:pPr>
        <w:pStyle w:val="164"/>
      </w:pPr>
      <w:r>
        <w:rPr>
          <w:rFonts w:ascii="Times New Roman" w:hAnsi="Times New Roman" w:eastAsia="宋体"/>
          <w:b w:val="0"/>
          <w:sz w:val="21"/>
        </w:rPr>
        <w:t>式中，yᵢ(t)为DCS实测值，ŷᵢ(t)为对应设备状态监测模型的预测值。考虑不同参数量纲和正常波动水平不同，采用训练数据统计量进行标准化：</w:t>
      </w:r>
    </w:p>
    <w:p w14:paraId="1E512D13">
      <w:pPr>
        <w:spacing w:before="40" w:after="40"/>
        <w:jc w:val="center"/>
      </w:pPr>
      <w:r>
        <w:rPr>
          <w:rFonts w:ascii="Cambria Math" w:hAnsi="Cambria Math" w:eastAsia="Cambria Math"/>
          <w:sz w:val="21"/>
        </w:rPr>
        <w:t>rᵢ(t) = [eᵢ(t) − μᵢ] / (σᵢ + ε)</w:t>
      </w:r>
    </w:p>
    <w:p w14:paraId="227C8EA2">
      <w:pPr>
        <w:pStyle w:val="164"/>
      </w:pPr>
      <w:r>
        <w:rPr>
          <w:rFonts w:ascii="Times New Roman" w:hAnsi="Times New Roman" w:eastAsia="宋体"/>
          <w:b w:val="0"/>
          <w:sz w:val="21"/>
        </w:rPr>
        <w:t>将连续L_r个样本按固定参数节点顺序组成参数—时间偏差矩阵</w:t>
      </w:r>
    </w:p>
    <w:p w14:paraId="3AF69946">
      <w:pPr>
        <w:spacing w:before="40" w:after="40"/>
        <w:jc w:val="center"/>
      </w:pPr>
      <w:r>
        <w:rPr>
          <w:rFonts w:ascii="Cambria Math" w:hAnsi="Cambria Math" w:eastAsia="Cambria Math"/>
          <w:sz w:val="21"/>
        </w:rPr>
        <w:t>Rₜ = [rᵢ(t−Lᵣ+1), …, rᵢ(t)]ᵢ₌₁ᴺ ∈ ℝᴺ×ᴸʳ</w:t>
      </w:r>
    </w:p>
    <w:p w14:paraId="0518B580">
      <w:pPr>
        <w:pStyle w:val="164"/>
      </w:pPr>
      <w:r>
        <w:rPr>
          <w:rFonts w:ascii="Times New Roman" w:hAnsi="Times New Roman" w:eastAsia="宋体"/>
          <w:b w:val="0"/>
          <w:sz w:val="21"/>
        </w:rPr>
        <w:t>其中N为任务参数节点数。Rₜ描述各参数在连续时间窗口内相对于状态参考的变化，Ã_p规定这些参数在设备和热力关系中的结构连接。二者共同构成KG-GCN输入，实现状态监测结果与系统知识结构的连接。</w:t>
      </w:r>
    </w:p>
    <w:p w14:paraId="2AADCDEE">
      <w:pPr>
        <w:pStyle w:val="167"/>
      </w:pPr>
      <w:r>
        <w:rPr>
          <w:rFonts w:ascii="Times New Roman" w:hAnsi="Times New Roman" w:eastAsia="黑体"/>
          <w:b/>
          <w:sz w:val="21"/>
        </w:rPr>
        <w:t>3.2.4 KG-GCN模型训练</w:t>
      </w:r>
    </w:p>
    <w:p w14:paraId="21A2BEB7">
      <w:pPr>
        <w:pStyle w:val="164"/>
      </w:pPr>
      <w:r>
        <w:rPr>
          <w:rFonts w:ascii="Times New Roman" w:hAnsi="Times New Roman" w:eastAsia="宋体"/>
          <w:b w:val="0"/>
          <w:sz w:val="21"/>
        </w:rPr>
        <w:t>每个参数节点的长度L_r偏差序列首先经线性映射得到d维初始节点特征H⁽⁰⁾，随后通过两层GCN进行邻域特征聚合。本文任务中的DCS节点具有固定物理身份，因此图级读出不采用完全消除节点位置的全局平均池化，而保留节点顺序，将初始局部表示和两层图卷积后的结构表示在特征维拼接：</w:t>
      </w:r>
    </w:p>
    <w:p w14:paraId="72D72BCE">
      <w:pPr>
        <w:spacing w:before="40" w:after="40"/>
        <w:jc w:val="center"/>
      </w:pPr>
      <w:r>
        <w:rPr>
          <w:rFonts w:ascii="Cambria Math" w:hAnsi="Cambria Math" w:eastAsia="Cambria Math"/>
          <w:sz w:val="21"/>
        </w:rPr>
        <w:t>H_cat = LN(H⁽⁰⁾ ∥ H⁽²⁾)</w:t>
      </w:r>
    </w:p>
    <w:p w14:paraId="12F0624E">
      <w:pPr>
        <w:pStyle w:val="164"/>
      </w:pPr>
      <w:r>
        <w:rPr>
          <w:rFonts w:ascii="Times New Roman" w:hAnsi="Times New Roman" w:eastAsia="宋体"/>
          <w:b w:val="0"/>
          <w:sz w:val="21"/>
        </w:rPr>
        <w:t>式中∥表示特征维拼接，LN为LayerNorm。随后按照固定DCS节点顺序将H_cat展平，经96维全连接层、ReLU、Dropout(0.05)和Softmax输出故障类别概率。该读出同时保留参数自身的偏差表示与知识拓扑传播后的邻域表示，避免不同物理位置的测点在全局池化过程中被完全混合。</w:t>
      </w:r>
    </w:p>
    <w:p w14:paraId="57C03CF2">
      <w:pPr>
        <w:pStyle w:val="164"/>
      </w:pPr>
      <w:r>
        <w:rPr>
          <w:rFonts w:ascii="Times New Roman" w:hAnsi="Times New Roman" w:eastAsia="宋体"/>
          <w:b w:val="0"/>
          <w:sz w:val="21"/>
        </w:rPr>
        <w:t>在正式分类训练前，对GCN编码器实施掩码重构预训练。对训练偏差窗口随机遮蔽15%的元素，将遮蔽后的节点特征与Ã_p输入编码器，并通过线性解码器恢复原偏差窗口；预训练损失仅在被遮蔽位置计算均方误差。其目标可表示为</w:t>
      </w:r>
    </w:p>
    <w:p w14:paraId="514997DC">
      <w:pPr>
        <w:spacing w:before="40" w:after="40"/>
        <w:jc w:val="center"/>
      </w:pPr>
      <w:r>
        <w:rPr>
          <w:rFonts w:ascii="Cambria Math" w:hAnsi="Cambria Math" w:eastAsia="Cambria Math"/>
          <w:sz w:val="21"/>
        </w:rPr>
        <w:t>L_mask = (1/|Ω|) Σ_(i,t)∈Ω [rᵢ(t) − r̂ᵢ(t)]²</w:t>
      </w:r>
    </w:p>
    <w:p w14:paraId="543AA7D8">
      <w:pPr>
        <w:pStyle w:val="164"/>
      </w:pPr>
      <w:r>
        <w:t>其中Ω为被遮蔽位置集合。完成预训练后固定GCN编码器参数，利用带标签故障窗口训练分类头，分类阶段采用交叉熵损失。本文将掩码重构作为KG-GCN内部的特征学习策略，其目的在于使编码器在分类前先学习知识拓扑约束下的节点关联表示，并为后续监督分类提供稳定的初始化参数。</w:t>
      </w:r>
    </w:p>
    <w:p w14:paraId="0FE0A739">
      <w:pPr>
        <w:keepNext/>
        <w:spacing w:before="80" w:after="40"/>
        <w:jc w:val="center"/>
      </w:pPr>
      <w:r>
        <w:rPr>
          <w:rFonts w:ascii="Times New Roman" w:hAnsi="Times New Roman" w:eastAsia="黑体"/>
          <w:b/>
          <w:sz w:val="18"/>
        </w:rPr>
        <w:t>表6  KG-GCN主要结构参数（VHP代表性任务）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5FA8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252" w:type="dxa"/>
            <w:shd w:val="clear" w:color="auto" w:fill="E7E6E6"/>
            <w:tcMar>
              <w:top w:w="60" w:type="dxa"/>
              <w:left w:w="80" w:type="dxa"/>
              <w:bottom w:w="60" w:type="dxa"/>
              <w:right w:w="80" w:type="dxa"/>
            </w:tcMar>
            <w:vAlign w:val="center"/>
          </w:tcPr>
          <w:p w14:paraId="6D531A95">
            <w:pPr>
              <w:spacing w:after="0" w:line="240" w:lineRule="auto"/>
              <w:jc w:val="center"/>
            </w:pPr>
            <w:r>
              <w:rPr>
                <w:rFonts w:ascii="Times New Roman" w:hAnsi="Times New Roman" w:eastAsia="黑体"/>
                <w:b/>
                <w:sz w:val="18"/>
              </w:rPr>
              <w:t>参数</w:t>
            </w:r>
          </w:p>
        </w:tc>
        <w:tc>
          <w:tcPr>
            <w:tcW w:w="4252" w:type="dxa"/>
            <w:shd w:val="clear" w:color="auto" w:fill="E7E6E6"/>
            <w:tcMar>
              <w:top w:w="60" w:type="dxa"/>
              <w:left w:w="80" w:type="dxa"/>
              <w:bottom w:w="60" w:type="dxa"/>
              <w:right w:w="80" w:type="dxa"/>
            </w:tcMar>
            <w:vAlign w:val="center"/>
          </w:tcPr>
          <w:p w14:paraId="6F3A423A">
            <w:pPr>
              <w:spacing w:after="0" w:line="240" w:lineRule="auto"/>
            </w:pPr>
            <w:r>
              <w:rPr>
                <w:rFonts w:ascii="Times New Roman" w:hAnsi="Times New Roman" w:eastAsia="黑体"/>
                <w:b/>
                <w:sz w:val="18"/>
              </w:rPr>
              <w:t>取值</w:t>
            </w:r>
          </w:p>
        </w:tc>
      </w:tr>
      <w:tr w14:paraId="4554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60" w:type="dxa"/>
              <w:left w:w="80" w:type="dxa"/>
              <w:bottom w:w="60" w:type="dxa"/>
              <w:right w:w="80" w:type="dxa"/>
            </w:tcMar>
            <w:vAlign w:val="center"/>
          </w:tcPr>
          <w:p w14:paraId="7B89B925">
            <w:pPr>
              <w:spacing w:after="0" w:line="240" w:lineRule="auto"/>
              <w:jc w:val="center"/>
            </w:pPr>
            <w:r>
              <w:rPr>
                <w:rFonts w:ascii="Times New Roman" w:hAnsi="Times New Roman" w:eastAsia="宋体"/>
                <w:sz w:val="18"/>
              </w:rPr>
              <w:t>参数节点数N</w:t>
            </w:r>
          </w:p>
        </w:tc>
        <w:tc>
          <w:tcPr>
            <w:tcW w:w="4252" w:type="dxa"/>
            <w:tcMar>
              <w:top w:w="60" w:type="dxa"/>
              <w:left w:w="80" w:type="dxa"/>
              <w:bottom w:w="60" w:type="dxa"/>
              <w:right w:w="80" w:type="dxa"/>
            </w:tcMar>
            <w:vAlign w:val="center"/>
          </w:tcPr>
          <w:p w14:paraId="4C56B3CB">
            <w:pPr>
              <w:spacing w:after="0" w:line="240" w:lineRule="auto"/>
              <w:jc w:val="left"/>
            </w:pPr>
            <w:r>
              <w:rPr>
                <w:rFonts w:ascii="Times New Roman" w:hAnsi="Times New Roman" w:eastAsia="宋体"/>
                <w:sz w:val="18"/>
              </w:rPr>
              <w:t>24</w:t>
            </w:r>
          </w:p>
        </w:tc>
      </w:tr>
      <w:tr w14:paraId="749F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60" w:type="dxa"/>
              <w:left w:w="80" w:type="dxa"/>
              <w:bottom w:w="60" w:type="dxa"/>
              <w:right w:w="80" w:type="dxa"/>
            </w:tcMar>
            <w:vAlign w:val="center"/>
          </w:tcPr>
          <w:p w14:paraId="53C6F6F5">
            <w:pPr>
              <w:spacing w:after="0" w:line="240" w:lineRule="auto"/>
              <w:jc w:val="center"/>
            </w:pPr>
            <w:r>
              <w:rPr>
                <w:rFonts w:ascii="Times New Roman" w:hAnsi="Times New Roman" w:eastAsia="宋体"/>
                <w:sz w:val="18"/>
              </w:rPr>
              <w:t>诊断偏差窗口L_r</w:t>
            </w:r>
          </w:p>
        </w:tc>
        <w:tc>
          <w:tcPr>
            <w:tcW w:w="4252" w:type="dxa"/>
            <w:tcMar>
              <w:top w:w="60" w:type="dxa"/>
              <w:left w:w="80" w:type="dxa"/>
              <w:bottom w:w="60" w:type="dxa"/>
              <w:right w:w="80" w:type="dxa"/>
            </w:tcMar>
            <w:vAlign w:val="center"/>
          </w:tcPr>
          <w:p w14:paraId="50D98E62">
            <w:pPr>
              <w:spacing w:after="0" w:line="240" w:lineRule="auto"/>
              <w:jc w:val="left"/>
            </w:pPr>
            <w:r>
              <w:rPr>
                <w:rFonts w:ascii="Times New Roman" w:hAnsi="Times New Roman" w:eastAsia="宋体"/>
                <w:sz w:val="18"/>
              </w:rPr>
              <w:t>60</w:t>
            </w:r>
          </w:p>
        </w:tc>
      </w:tr>
      <w:tr w14:paraId="7306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60" w:type="dxa"/>
              <w:left w:w="80" w:type="dxa"/>
              <w:bottom w:w="60" w:type="dxa"/>
              <w:right w:w="80" w:type="dxa"/>
            </w:tcMar>
            <w:vAlign w:val="center"/>
          </w:tcPr>
          <w:p w14:paraId="66F5F74A">
            <w:pPr>
              <w:spacing w:after="0" w:line="240" w:lineRule="auto"/>
              <w:jc w:val="center"/>
            </w:pPr>
            <w:r>
              <w:rPr>
                <w:rFonts w:ascii="Times New Roman" w:hAnsi="Times New Roman" w:eastAsia="宋体"/>
                <w:sz w:val="18"/>
              </w:rPr>
              <w:t>节点初始特征维数d</w:t>
            </w:r>
          </w:p>
        </w:tc>
        <w:tc>
          <w:tcPr>
            <w:tcW w:w="4252" w:type="dxa"/>
            <w:tcMar>
              <w:top w:w="60" w:type="dxa"/>
              <w:left w:w="80" w:type="dxa"/>
              <w:bottom w:w="60" w:type="dxa"/>
              <w:right w:w="80" w:type="dxa"/>
            </w:tcMar>
            <w:vAlign w:val="center"/>
          </w:tcPr>
          <w:p w14:paraId="16CBD677">
            <w:pPr>
              <w:spacing w:after="0" w:line="240" w:lineRule="auto"/>
              <w:jc w:val="left"/>
            </w:pPr>
            <w:r>
              <w:rPr>
                <w:rFonts w:ascii="Times New Roman" w:hAnsi="Times New Roman" w:eastAsia="宋体"/>
                <w:sz w:val="18"/>
              </w:rPr>
              <w:t>32</w:t>
            </w:r>
          </w:p>
        </w:tc>
      </w:tr>
      <w:tr w14:paraId="618A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60" w:type="dxa"/>
              <w:left w:w="80" w:type="dxa"/>
              <w:bottom w:w="60" w:type="dxa"/>
              <w:right w:w="80" w:type="dxa"/>
            </w:tcMar>
            <w:vAlign w:val="center"/>
          </w:tcPr>
          <w:p w14:paraId="127DFE1D">
            <w:pPr>
              <w:spacing w:after="0" w:line="240" w:lineRule="auto"/>
              <w:jc w:val="center"/>
            </w:pPr>
            <w:r>
              <w:rPr>
                <w:rFonts w:ascii="Times New Roman" w:hAnsi="Times New Roman" w:eastAsia="宋体"/>
                <w:sz w:val="18"/>
              </w:rPr>
              <w:t>GCN层数</w:t>
            </w:r>
          </w:p>
        </w:tc>
        <w:tc>
          <w:tcPr>
            <w:tcW w:w="4252" w:type="dxa"/>
            <w:tcMar>
              <w:top w:w="60" w:type="dxa"/>
              <w:left w:w="80" w:type="dxa"/>
              <w:bottom w:w="60" w:type="dxa"/>
              <w:right w:w="80" w:type="dxa"/>
            </w:tcMar>
            <w:vAlign w:val="center"/>
          </w:tcPr>
          <w:p w14:paraId="2B4687DE">
            <w:pPr>
              <w:spacing w:after="0" w:line="240" w:lineRule="auto"/>
              <w:jc w:val="left"/>
            </w:pPr>
            <w:r>
              <w:rPr>
                <w:rFonts w:ascii="Times New Roman" w:hAnsi="Times New Roman" w:eastAsia="宋体"/>
                <w:sz w:val="18"/>
              </w:rPr>
              <w:t>2</w:t>
            </w:r>
          </w:p>
        </w:tc>
      </w:tr>
      <w:tr w14:paraId="01F4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60" w:type="dxa"/>
              <w:left w:w="80" w:type="dxa"/>
              <w:bottom w:w="60" w:type="dxa"/>
              <w:right w:w="80" w:type="dxa"/>
            </w:tcMar>
            <w:vAlign w:val="center"/>
          </w:tcPr>
          <w:p w14:paraId="0E7B4E51">
            <w:pPr>
              <w:spacing w:after="0" w:line="240" w:lineRule="auto"/>
              <w:jc w:val="center"/>
            </w:pPr>
            <w:r>
              <w:rPr>
                <w:rFonts w:ascii="Times New Roman" w:hAnsi="Times New Roman" w:eastAsia="宋体"/>
                <w:sz w:val="18"/>
              </w:rPr>
              <w:t>分类隐藏层</w:t>
            </w:r>
          </w:p>
        </w:tc>
        <w:tc>
          <w:tcPr>
            <w:tcW w:w="4252" w:type="dxa"/>
            <w:tcMar>
              <w:top w:w="60" w:type="dxa"/>
              <w:left w:w="80" w:type="dxa"/>
              <w:bottom w:w="60" w:type="dxa"/>
              <w:right w:w="80" w:type="dxa"/>
            </w:tcMar>
            <w:vAlign w:val="center"/>
          </w:tcPr>
          <w:p w14:paraId="344EB41C">
            <w:pPr>
              <w:spacing w:after="0" w:line="240" w:lineRule="auto"/>
              <w:jc w:val="left"/>
            </w:pPr>
            <w:r>
              <w:rPr>
                <w:rFonts w:ascii="Times New Roman" w:hAnsi="Times New Roman" w:eastAsia="宋体"/>
                <w:sz w:val="18"/>
              </w:rPr>
              <w:t>96</w:t>
            </w:r>
          </w:p>
        </w:tc>
      </w:tr>
      <w:tr w14:paraId="464B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60" w:type="dxa"/>
              <w:left w:w="80" w:type="dxa"/>
              <w:bottom w:w="60" w:type="dxa"/>
              <w:right w:w="80" w:type="dxa"/>
            </w:tcMar>
            <w:vAlign w:val="center"/>
          </w:tcPr>
          <w:p w14:paraId="1DC7291D">
            <w:pPr>
              <w:spacing w:after="0" w:line="240" w:lineRule="auto"/>
              <w:jc w:val="center"/>
            </w:pPr>
            <w:r>
              <w:rPr>
                <w:rFonts w:ascii="Times New Roman" w:hAnsi="Times New Roman" w:eastAsia="宋体"/>
                <w:sz w:val="18"/>
              </w:rPr>
              <w:t>Dropout</w:t>
            </w:r>
          </w:p>
        </w:tc>
        <w:tc>
          <w:tcPr>
            <w:tcW w:w="4252" w:type="dxa"/>
            <w:tcMar>
              <w:top w:w="60" w:type="dxa"/>
              <w:left w:w="80" w:type="dxa"/>
              <w:bottom w:w="60" w:type="dxa"/>
              <w:right w:w="80" w:type="dxa"/>
            </w:tcMar>
            <w:vAlign w:val="center"/>
          </w:tcPr>
          <w:p w14:paraId="6694E3E7">
            <w:pPr>
              <w:spacing w:after="0" w:line="240" w:lineRule="auto"/>
              <w:jc w:val="left"/>
            </w:pPr>
            <w:r>
              <w:rPr>
                <w:rFonts w:ascii="Times New Roman" w:hAnsi="Times New Roman" w:eastAsia="宋体"/>
                <w:sz w:val="18"/>
              </w:rPr>
              <w:t>0.05</w:t>
            </w:r>
          </w:p>
        </w:tc>
      </w:tr>
      <w:tr w14:paraId="0DB5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60" w:type="dxa"/>
              <w:left w:w="80" w:type="dxa"/>
              <w:bottom w:w="60" w:type="dxa"/>
              <w:right w:w="80" w:type="dxa"/>
            </w:tcMar>
            <w:vAlign w:val="center"/>
          </w:tcPr>
          <w:p w14:paraId="1441D90B">
            <w:pPr>
              <w:spacing w:after="0" w:line="240" w:lineRule="auto"/>
              <w:jc w:val="center"/>
            </w:pPr>
            <w:r>
              <w:rPr>
                <w:rFonts w:ascii="Times New Roman" w:hAnsi="Times New Roman" w:eastAsia="宋体"/>
                <w:sz w:val="18"/>
              </w:rPr>
              <w:t>Mask比例</w:t>
            </w:r>
          </w:p>
        </w:tc>
        <w:tc>
          <w:tcPr>
            <w:tcW w:w="4252" w:type="dxa"/>
            <w:tcMar>
              <w:top w:w="60" w:type="dxa"/>
              <w:left w:w="80" w:type="dxa"/>
              <w:bottom w:w="60" w:type="dxa"/>
              <w:right w:w="80" w:type="dxa"/>
            </w:tcMar>
            <w:vAlign w:val="center"/>
          </w:tcPr>
          <w:p w14:paraId="3819863F">
            <w:pPr>
              <w:spacing w:after="0" w:line="240" w:lineRule="auto"/>
              <w:jc w:val="left"/>
            </w:pPr>
            <w:r>
              <w:rPr>
                <w:rFonts w:ascii="Times New Roman" w:hAnsi="Times New Roman" w:eastAsia="宋体"/>
                <w:sz w:val="18"/>
              </w:rPr>
              <w:t>15%</w:t>
            </w:r>
          </w:p>
        </w:tc>
      </w:tr>
      <w:tr w14:paraId="3BA1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60" w:type="dxa"/>
              <w:left w:w="80" w:type="dxa"/>
              <w:bottom w:w="60" w:type="dxa"/>
              <w:right w:w="80" w:type="dxa"/>
            </w:tcMar>
            <w:vAlign w:val="center"/>
          </w:tcPr>
          <w:p w14:paraId="43644C9D">
            <w:pPr>
              <w:spacing w:after="0" w:line="240" w:lineRule="auto"/>
              <w:jc w:val="center"/>
            </w:pPr>
            <w:r>
              <w:rPr>
                <w:rFonts w:ascii="Times New Roman" w:hAnsi="Times New Roman" w:eastAsia="宋体"/>
                <w:sz w:val="18"/>
              </w:rPr>
              <w:t>权重衰减</w:t>
            </w:r>
          </w:p>
        </w:tc>
        <w:tc>
          <w:tcPr>
            <w:tcW w:w="4252" w:type="dxa"/>
            <w:tcMar>
              <w:top w:w="60" w:type="dxa"/>
              <w:left w:w="80" w:type="dxa"/>
              <w:bottom w:w="60" w:type="dxa"/>
              <w:right w:w="80" w:type="dxa"/>
            </w:tcMar>
            <w:vAlign w:val="center"/>
          </w:tcPr>
          <w:p w14:paraId="354541B3">
            <w:pPr>
              <w:spacing w:after="0" w:line="240" w:lineRule="auto"/>
              <w:jc w:val="left"/>
            </w:pPr>
            <w:r>
              <w:rPr>
                <w:rFonts w:ascii="Times New Roman" w:hAnsi="Times New Roman" w:eastAsia="宋体"/>
                <w:sz w:val="18"/>
              </w:rPr>
              <w:t>1×10⁻⁴</w:t>
            </w:r>
          </w:p>
        </w:tc>
      </w:tr>
    </w:tbl>
    <w:p w14:paraId="4F68F095">
      <w:pPr>
        <w:spacing w:after="0"/>
      </w:pPr>
    </w:p>
    <w:p w14:paraId="060E5B2B">
      <w:pPr>
        <w:keepNext/>
        <w:spacing w:before="80" w:after="40"/>
        <w:jc w:val="center"/>
      </w:pPr>
      <w:r>
        <w:rPr>
          <w:rFonts w:ascii="Times New Roman" w:hAnsi="Times New Roman" w:eastAsia="宋体"/>
          <w:i/>
          <w:sz w:val="18"/>
        </w:rPr>
        <w:t>【图待补：KG-GCN模型输入、图卷积读出与两阶段训练框架；参数偏差+KG参数图→GCN→节点身份保持式读出→故障分类】</w:t>
      </w:r>
    </w:p>
    <w:p w14:paraId="04BF3A9A">
      <w:pPr>
        <w:pStyle w:val="165"/>
      </w:pPr>
      <w:r>
        <w:rPr>
          <w:rFonts w:ascii="Times New Roman" w:hAnsi="Times New Roman" w:eastAsia="黑体"/>
          <w:b/>
          <w:sz w:val="24"/>
        </w:rPr>
        <w:t>4 算例分析</w:t>
      </w:r>
    </w:p>
    <w:p w14:paraId="6B5BF596">
      <w:pPr>
        <w:pStyle w:val="166"/>
      </w:pPr>
      <w:r>
        <w:rPr>
          <w:rFonts w:ascii="Times New Roman" w:hAnsi="Times New Roman" w:eastAsia="黑体"/>
          <w:b/>
          <w:sz w:val="21"/>
        </w:rPr>
        <w:t>4.1 研究对象及故障数据集</w:t>
      </w:r>
    </w:p>
    <w:p w14:paraId="74005E61">
      <w:pPr>
        <w:pStyle w:val="164"/>
      </w:pPr>
      <w:r>
        <w:rPr>
          <w:rFonts w:ascii="Times New Roman" w:hAnsi="Times New Roman" w:eastAsia="宋体"/>
          <w:b w:val="0"/>
          <w:sz w:val="21"/>
        </w:rPr>
        <w:t>为验证所提KG-GCN故障诊断方法，选取VHP本体、一级抽汽支路及一次再热接口构成的任务区域作为代表性算例。该区域同时包含汽缸本体状态、主通流出口以及抽汽回热接口，能够用于检验不同故障在共享部分监测参数时的分类能力。根据系统知识图谱和DCS参数映射，从主图谱中抽取24个可连续获得状态偏差的参数节点，形成VHP任务参数子图。</w:t>
      </w:r>
    </w:p>
    <w:p w14:paraId="71F840A0">
      <w:pPr>
        <w:pStyle w:val="164"/>
      </w:pPr>
      <w:r>
        <w:rPr>
          <w:rFonts w:ascii="Times New Roman" w:hAnsi="Times New Roman" w:eastAsia="宋体"/>
          <w:sz w:val="21"/>
        </w:rPr>
        <w:t>故障诊断数据采用“真实DCS运行背景+独立故障机理响应”的方式构建。正常类F0直接来自2024年6月正常运行DCS实测序列与GRU预测值之间的偏差背景。F1-F3则在同一真实运行背景上依据VHP通流部件侵蚀、一级抽汽支路泄漏和VHP汽封泄漏的独立热力机理施加相应参数响应，形成三类半物理故障场景。下文将F0-F3统一称为故障诊断数据集。该数据集用于评价方法在已知故障机理条件下的分类性能，不将其等同于现场已记录的真实故障事件。</w:t>
      </w:r>
    </w:p>
    <w:p w14:paraId="2E9A7A67">
      <w:pPr>
        <w:keepNext/>
        <w:spacing w:before="80" w:after="40"/>
        <w:jc w:val="center"/>
      </w:pPr>
      <w:r>
        <w:rPr>
          <w:rFonts w:ascii="Times New Roman" w:hAnsi="Times New Roman" w:eastAsia="黑体"/>
          <w:b/>
          <w:sz w:val="18"/>
        </w:rPr>
        <w:t>表7  VHP代表性故障诊断场景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268"/>
        <w:gridCol w:w="2835"/>
        <w:gridCol w:w="2948"/>
      </w:tblGrid>
      <w:tr w14:paraId="4DBA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shd w:val="clear" w:color="auto" w:fill="E7E6E6"/>
            <w:tcMar>
              <w:top w:w="60" w:type="dxa"/>
              <w:left w:w="80" w:type="dxa"/>
              <w:bottom w:w="60" w:type="dxa"/>
              <w:right w:w="80" w:type="dxa"/>
            </w:tcMar>
            <w:vAlign w:val="center"/>
          </w:tcPr>
          <w:p w14:paraId="7F069BA2">
            <w:pPr>
              <w:spacing w:after="0" w:line="240" w:lineRule="auto"/>
              <w:jc w:val="center"/>
            </w:pPr>
            <w:r>
              <w:rPr>
                <w:rFonts w:ascii="Times New Roman" w:hAnsi="Times New Roman" w:eastAsia="黑体"/>
                <w:b/>
                <w:sz w:val="17"/>
              </w:rPr>
              <w:t>类别</w:t>
            </w:r>
          </w:p>
        </w:tc>
        <w:tc>
          <w:tcPr>
            <w:tcW w:w="2268" w:type="dxa"/>
            <w:shd w:val="clear" w:color="auto" w:fill="E7E6E6"/>
            <w:tcMar>
              <w:top w:w="60" w:type="dxa"/>
              <w:left w:w="80" w:type="dxa"/>
              <w:bottom w:w="60" w:type="dxa"/>
              <w:right w:w="80" w:type="dxa"/>
            </w:tcMar>
            <w:vAlign w:val="center"/>
          </w:tcPr>
          <w:p w14:paraId="2DEA0C7D">
            <w:pPr>
              <w:spacing w:after="0" w:line="240" w:lineRule="auto"/>
              <w:jc w:val="center"/>
            </w:pPr>
            <w:r>
              <w:rPr>
                <w:rFonts w:ascii="Times New Roman" w:hAnsi="Times New Roman" w:eastAsia="黑体"/>
                <w:b/>
                <w:sz w:val="17"/>
              </w:rPr>
              <w:t>工况</w:t>
            </w:r>
          </w:p>
        </w:tc>
        <w:tc>
          <w:tcPr>
            <w:tcW w:w="2835" w:type="dxa"/>
            <w:shd w:val="clear" w:color="auto" w:fill="E7E6E6"/>
            <w:tcMar>
              <w:top w:w="60" w:type="dxa"/>
              <w:left w:w="80" w:type="dxa"/>
              <w:bottom w:w="60" w:type="dxa"/>
              <w:right w:w="80" w:type="dxa"/>
            </w:tcMar>
            <w:vAlign w:val="center"/>
          </w:tcPr>
          <w:p w14:paraId="52337335">
            <w:pPr>
              <w:spacing w:after="0" w:line="240" w:lineRule="auto"/>
              <w:jc w:val="center"/>
            </w:pPr>
            <w:r>
              <w:rPr>
                <w:rFonts w:ascii="Times New Roman" w:hAnsi="Times New Roman" w:eastAsia="黑体"/>
                <w:b/>
                <w:sz w:val="17"/>
              </w:rPr>
              <w:t>主要作用区域</w:t>
            </w:r>
          </w:p>
        </w:tc>
        <w:tc>
          <w:tcPr>
            <w:tcW w:w="2948" w:type="dxa"/>
            <w:shd w:val="clear" w:color="auto" w:fill="E7E6E6"/>
            <w:tcMar>
              <w:top w:w="60" w:type="dxa"/>
              <w:left w:w="80" w:type="dxa"/>
              <w:bottom w:w="60" w:type="dxa"/>
              <w:right w:w="80" w:type="dxa"/>
            </w:tcMar>
            <w:vAlign w:val="center"/>
          </w:tcPr>
          <w:p w14:paraId="760A8EDA">
            <w:pPr>
              <w:spacing w:after="0" w:line="240" w:lineRule="auto"/>
              <w:jc w:val="center"/>
            </w:pPr>
            <w:r>
              <w:rPr>
                <w:rFonts w:ascii="Times New Roman" w:hAnsi="Times New Roman" w:eastAsia="黑体"/>
                <w:b/>
                <w:sz w:val="17"/>
              </w:rPr>
              <w:t>数据来源/构造</w:t>
            </w:r>
          </w:p>
        </w:tc>
      </w:tr>
      <w:tr w14:paraId="147F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60" w:type="dxa"/>
              <w:left w:w="80" w:type="dxa"/>
              <w:bottom w:w="60" w:type="dxa"/>
              <w:right w:w="80" w:type="dxa"/>
            </w:tcMar>
            <w:vAlign w:val="center"/>
          </w:tcPr>
          <w:p w14:paraId="0AFEB273">
            <w:pPr>
              <w:spacing w:after="0" w:line="240" w:lineRule="auto"/>
              <w:jc w:val="center"/>
            </w:pPr>
            <w:r>
              <w:rPr>
                <w:rFonts w:ascii="Times New Roman" w:hAnsi="Times New Roman" w:eastAsia="宋体"/>
                <w:sz w:val="17"/>
              </w:rPr>
              <w:t>F0</w:t>
            </w:r>
          </w:p>
        </w:tc>
        <w:tc>
          <w:tcPr>
            <w:tcW w:w="2268" w:type="dxa"/>
            <w:tcMar>
              <w:top w:w="60" w:type="dxa"/>
              <w:left w:w="80" w:type="dxa"/>
              <w:bottom w:w="60" w:type="dxa"/>
              <w:right w:w="80" w:type="dxa"/>
            </w:tcMar>
            <w:vAlign w:val="center"/>
          </w:tcPr>
          <w:p w14:paraId="4328E6CB">
            <w:pPr>
              <w:spacing w:after="0" w:line="240" w:lineRule="auto"/>
              <w:jc w:val="left"/>
            </w:pPr>
            <w:r>
              <w:rPr>
                <w:rFonts w:ascii="Times New Roman" w:hAnsi="Times New Roman" w:eastAsia="宋体"/>
                <w:sz w:val="17"/>
              </w:rPr>
              <w:t>正常状态</w:t>
            </w:r>
          </w:p>
        </w:tc>
        <w:tc>
          <w:tcPr>
            <w:tcW w:w="2835" w:type="dxa"/>
            <w:tcMar>
              <w:top w:w="60" w:type="dxa"/>
              <w:left w:w="80" w:type="dxa"/>
              <w:bottom w:w="60" w:type="dxa"/>
              <w:right w:w="80" w:type="dxa"/>
            </w:tcMar>
            <w:vAlign w:val="center"/>
          </w:tcPr>
          <w:p w14:paraId="79CF14CE">
            <w:pPr>
              <w:spacing w:after="0" w:line="240" w:lineRule="auto"/>
              <w:jc w:val="left"/>
            </w:pPr>
            <w:r>
              <w:rPr>
                <w:rFonts w:ascii="Times New Roman" w:hAnsi="Times New Roman" w:eastAsia="宋体"/>
                <w:sz w:val="17"/>
              </w:rPr>
              <w:t>VHP及相关接口</w:t>
            </w:r>
          </w:p>
        </w:tc>
        <w:tc>
          <w:tcPr>
            <w:tcW w:w="2948" w:type="dxa"/>
            <w:tcMar>
              <w:top w:w="60" w:type="dxa"/>
              <w:left w:w="80" w:type="dxa"/>
              <w:bottom w:w="60" w:type="dxa"/>
              <w:right w:w="80" w:type="dxa"/>
            </w:tcMar>
            <w:vAlign w:val="center"/>
          </w:tcPr>
          <w:p w14:paraId="68C280CD">
            <w:pPr>
              <w:spacing w:after="0" w:line="240" w:lineRule="auto"/>
              <w:jc w:val="left"/>
            </w:pPr>
            <w:r>
              <w:rPr>
                <w:rFonts w:ascii="Times New Roman" w:hAnsi="Times New Roman" w:eastAsia="宋体"/>
                <w:sz w:val="17"/>
              </w:rPr>
              <w:t>现场DCS正常运行偏差背景</w:t>
            </w:r>
          </w:p>
        </w:tc>
      </w:tr>
      <w:tr w14:paraId="258F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60" w:type="dxa"/>
              <w:left w:w="80" w:type="dxa"/>
              <w:bottom w:w="60" w:type="dxa"/>
              <w:right w:w="80" w:type="dxa"/>
            </w:tcMar>
            <w:vAlign w:val="center"/>
          </w:tcPr>
          <w:p w14:paraId="2779CE35">
            <w:pPr>
              <w:spacing w:after="0" w:line="240" w:lineRule="auto"/>
              <w:jc w:val="center"/>
            </w:pPr>
            <w:r>
              <w:rPr>
                <w:rFonts w:ascii="Times New Roman" w:hAnsi="Times New Roman" w:eastAsia="宋体"/>
                <w:sz w:val="17"/>
              </w:rPr>
              <w:t>F1</w:t>
            </w:r>
          </w:p>
        </w:tc>
        <w:tc>
          <w:tcPr>
            <w:tcW w:w="2268" w:type="dxa"/>
            <w:tcMar>
              <w:top w:w="60" w:type="dxa"/>
              <w:left w:w="80" w:type="dxa"/>
              <w:bottom w:w="60" w:type="dxa"/>
              <w:right w:w="80" w:type="dxa"/>
            </w:tcMar>
            <w:vAlign w:val="center"/>
          </w:tcPr>
          <w:p w14:paraId="0A66FB4A">
            <w:pPr>
              <w:spacing w:after="0" w:line="240" w:lineRule="auto"/>
              <w:jc w:val="left"/>
            </w:pPr>
            <w:r>
              <w:rPr>
                <w:rFonts w:ascii="Times New Roman" w:hAnsi="Times New Roman" w:eastAsia="宋体"/>
                <w:sz w:val="17"/>
              </w:rPr>
              <w:t>VHP通流部件侵蚀</w:t>
            </w:r>
          </w:p>
        </w:tc>
        <w:tc>
          <w:tcPr>
            <w:tcW w:w="2835" w:type="dxa"/>
            <w:tcMar>
              <w:top w:w="60" w:type="dxa"/>
              <w:left w:w="80" w:type="dxa"/>
              <w:bottom w:w="60" w:type="dxa"/>
              <w:right w:w="80" w:type="dxa"/>
            </w:tcMar>
            <w:vAlign w:val="center"/>
          </w:tcPr>
          <w:p w14:paraId="6121D8F8">
            <w:pPr>
              <w:spacing w:after="0" w:line="240" w:lineRule="auto"/>
              <w:jc w:val="left"/>
            </w:pPr>
            <w:r>
              <w:rPr>
                <w:rFonts w:ascii="Times New Roman" w:hAnsi="Times New Roman" w:eastAsia="宋体"/>
                <w:sz w:val="17"/>
              </w:rPr>
              <w:t>VHP本体、排汽及一次再热接口</w:t>
            </w:r>
          </w:p>
        </w:tc>
        <w:tc>
          <w:tcPr>
            <w:tcW w:w="2948" w:type="dxa"/>
            <w:tcMar>
              <w:top w:w="60" w:type="dxa"/>
              <w:left w:w="80" w:type="dxa"/>
              <w:bottom w:w="60" w:type="dxa"/>
              <w:right w:w="80" w:type="dxa"/>
            </w:tcMar>
            <w:vAlign w:val="center"/>
          </w:tcPr>
          <w:p w14:paraId="26C04481">
            <w:pPr>
              <w:spacing w:after="0" w:line="240" w:lineRule="auto"/>
              <w:jc w:val="left"/>
            </w:pPr>
            <w:r>
              <w:rPr>
                <w:rFonts w:ascii="Times New Roman" w:hAnsi="Times New Roman" w:eastAsia="宋体"/>
                <w:sz w:val="17"/>
              </w:rPr>
              <w:t>真实DCS背景+独立通流侵蚀机理响应</w:t>
            </w:r>
          </w:p>
        </w:tc>
      </w:tr>
      <w:tr w14:paraId="597B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60" w:type="dxa"/>
              <w:left w:w="80" w:type="dxa"/>
              <w:bottom w:w="60" w:type="dxa"/>
              <w:right w:w="80" w:type="dxa"/>
            </w:tcMar>
            <w:vAlign w:val="center"/>
          </w:tcPr>
          <w:p w14:paraId="1D5436A4">
            <w:pPr>
              <w:spacing w:after="0" w:line="240" w:lineRule="auto"/>
              <w:jc w:val="center"/>
            </w:pPr>
            <w:r>
              <w:rPr>
                <w:rFonts w:ascii="Times New Roman" w:hAnsi="Times New Roman" w:eastAsia="宋体"/>
                <w:sz w:val="17"/>
              </w:rPr>
              <w:t>F2</w:t>
            </w:r>
          </w:p>
        </w:tc>
        <w:tc>
          <w:tcPr>
            <w:tcW w:w="2268" w:type="dxa"/>
            <w:tcMar>
              <w:top w:w="60" w:type="dxa"/>
              <w:left w:w="80" w:type="dxa"/>
              <w:bottom w:w="60" w:type="dxa"/>
              <w:right w:w="80" w:type="dxa"/>
            </w:tcMar>
            <w:vAlign w:val="center"/>
          </w:tcPr>
          <w:p w14:paraId="4CC157A2">
            <w:pPr>
              <w:spacing w:after="0" w:line="240" w:lineRule="auto"/>
              <w:jc w:val="left"/>
            </w:pPr>
            <w:r>
              <w:rPr>
                <w:rFonts w:ascii="Times New Roman" w:hAnsi="Times New Roman" w:eastAsia="宋体"/>
                <w:sz w:val="17"/>
              </w:rPr>
              <w:t>一级抽汽支路泄漏</w:t>
            </w:r>
          </w:p>
        </w:tc>
        <w:tc>
          <w:tcPr>
            <w:tcW w:w="2835" w:type="dxa"/>
            <w:tcMar>
              <w:top w:w="60" w:type="dxa"/>
              <w:left w:w="80" w:type="dxa"/>
              <w:bottom w:w="60" w:type="dxa"/>
              <w:right w:w="80" w:type="dxa"/>
            </w:tcMar>
            <w:vAlign w:val="center"/>
          </w:tcPr>
          <w:p w14:paraId="152B246E">
            <w:pPr>
              <w:spacing w:after="0" w:line="240" w:lineRule="auto"/>
              <w:jc w:val="left"/>
            </w:pPr>
            <w:r>
              <w:rPr>
                <w:rFonts w:ascii="Times New Roman" w:hAnsi="Times New Roman" w:eastAsia="宋体"/>
                <w:sz w:val="17"/>
              </w:rPr>
              <w:t>一级抽汽支路及1号高加入口方向</w:t>
            </w:r>
          </w:p>
        </w:tc>
        <w:tc>
          <w:tcPr>
            <w:tcW w:w="2948" w:type="dxa"/>
            <w:tcMar>
              <w:top w:w="60" w:type="dxa"/>
              <w:left w:w="80" w:type="dxa"/>
              <w:bottom w:w="60" w:type="dxa"/>
              <w:right w:w="80" w:type="dxa"/>
            </w:tcMar>
            <w:vAlign w:val="center"/>
          </w:tcPr>
          <w:p w14:paraId="022DE325">
            <w:pPr>
              <w:spacing w:after="0" w:line="240" w:lineRule="auto"/>
              <w:jc w:val="left"/>
            </w:pPr>
            <w:r>
              <w:rPr>
                <w:rFonts w:ascii="Times New Roman" w:hAnsi="Times New Roman" w:eastAsia="宋体"/>
                <w:sz w:val="17"/>
              </w:rPr>
              <w:t>真实DCS背景+独立抽汽泄漏机理响应</w:t>
            </w:r>
          </w:p>
        </w:tc>
      </w:tr>
      <w:tr w14:paraId="72806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60" w:type="dxa"/>
              <w:left w:w="80" w:type="dxa"/>
              <w:bottom w:w="60" w:type="dxa"/>
              <w:right w:w="80" w:type="dxa"/>
            </w:tcMar>
            <w:vAlign w:val="center"/>
          </w:tcPr>
          <w:p w14:paraId="095EE419">
            <w:pPr>
              <w:spacing w:after="0" w:line="240" w:lineRule="auto"/>
              <w:jc w:val="center"/>
            </w:pPr>
            <w:r>
              <w:rPr>
                <w:rFonts w:ascii="Times New Roman" w:hAnsi="Times New Roman" w:eastAsia="宋体"/>
                <w:sz w:val="17"/>
              </w:rPr>
              <w:t>F3</w:t>
            </w:r>
          </w:p>
        </w:tc>
        <w:tc>
          <w:tcPr>
            <w:tcW w:w="2268" w:type="dxa"/>
            <w:tcMar>
              <w:top w:w="60" w:type="dxa"/>
              <w:left w:w="80" w:type="dxa"/>
              <w:bottom w:w="60" w:type="dxa"/>
              <w:right w:w="80" w:type="dxa"/>
            </w:tcMar>
            <w:vAlign w:val="center"/>
          </w:tcPr>
          <w:p w14:paraId="513D2ED0">
            <w:pPr>
              <w:spacing w:after="0" w:line="240" w:lineRule="auto"/>
              <w:jc w:val="left"/>
            </w:pPr>
            <w:r>
              <w:rPr>
                <w:rFonts w:ascii="Times New Roman" w:hAnsi="Times New Roman" w:eastAsia="宋体"/>
                <w:sz w:val="17"/>
              </w:rPr>
              <w:t>VHP汽封泄漏</w:t>
            </w:r>
          </w:p>
        </w:tc>
        <w:tc>
          <w:tcPr>
            <w:tcW w:w="2835" w:type="dxa"/>
            <w:tcMar>
              <w:top w:w="60" w:type="dxa"/>
              <w:left w:w="80" w:type="dxa"/>
              <w:bottom w:w="60" w:type="dxa"/>
              <w:right w:w="80" w:type="dxa"/>
            </w:tcMar>
            <w:vAlign w:val="center"/>
          </w:tcPr>
          <w:p w14:paraId="4D5C569D">
            <w:pPr>
              <w:spacing w:after="0" w:line="240" w:lineRule="auto"/>
              <w:jc w:val="left"/>
            </w:pPr>
            <w:r>
              <w:rPr>
                <w:rFonts w:ascii="Times New Roman" w:hAnsi="Times New Roman" w:eastAsia="宋体"/>
                <w:sz w:val="17"/>
              </w:rPr>
              <w:t>VHP本体、排汽及相关接口</w:t>
            </w:r>
          </w:p>
        </w:tc>
        <w:tc>
          <w:tcPr>
            <w:tcW w:w="2948" w:type="dxa"/>
            <w:tcMar>
              <w:top w:w="60" w:type="dxa"/>
              <w:left w:w="80" w:type="dxa"/>
              <w:bottom w:w="60" w:type="dxa"/>
              <w:right w:w="80" w:type="dxa"/>
            </w:tcMar>
            <w:vAlign w:val="center"/>
          </w:tcPr>
          <w:p w14:paraId="35FA0A4E">
            <w:pPr>
              <w:spacing w:after="0" w:line="240" w:lineRule="auto"/>
              <w:jc w:val="left"/>
            </w:pPr>
            <w:r>
              <w:rPr>
                <w:rFonts w:ascii="Times New Roman" w:hAnsi="Times New Roman" w:eastAsia="宋体"/>
                <w:sz w:val="17"/>
              </w:rPr>
              <w:t>真实DCS背景+独立汽封泄漏机理响应</w:t>
            </w:r>
          </w:p>
        </w:tc>
      </w:tr>
    </w:tbl>
    <w:p w14:paraId="0B26AF69">
      <w:pPr>
        <w:spacing w:after="0"/>
      </w:pPr>
    </w:p>
    <w:p w14:paraId="2767E241">
      <w:pPr>
        <w:pStyle w:val="166"/>
      </w:pPr>
      <w:r>
        <w:rPr>
          <w:rFonts w:ascii="Times New Roman" w:hAnsi="Times New Roman" w:eastAsia="黑体"/>
          <w:b/>
          <w:sz w:val="21"/>
        </w:rPr>
        <w:t>4.2 实验设置与评估指标</w:t>
      </w:r>
    </w:p>
    <w:p w14:paraId="550C1A6B">
      <w:pPr>
        <w:pStyle w:val="164"/>
      </w:pPr>
      <w:r>
        <w:rPr>
          <w:rFonts w:ascii="Times New Roman" w:hAnsi="Times New Roman" w:eastAsia="宋体"/>
          <w:b w:val="0"/>
          <w:sz w:val="21"/>
        </w:rPr>
        <w:t>诊断样本由连续60个采样点组成，按自然日划分训练、验证和测试数据，三部分时间范围严格互斥。训练集用于参数更新，验证集用于早停和模型选择，测试集仅在模型冻结后进行独立评价。各类别在训练、验证和测试中的窗口数量分别为428、139和140，因此训练集、验证集和测试集总样本数分别为1712、556和560。</w:t>
      </w:r>
    </w:p>
    <w:p w14:paraId="2D2CFFC2">
      <w:pPr>
        <w:keepNext/>
        <w:spacing w:before="80" w:after="40"/>
        <w:jc w:val="center"/>
      </w:pPr>
      <w:r>
        <w:rPr>
          <w:rFonts w:ascii="Times New Roman" w:hAnsi="Times New Roman" w:eastAsia="黑体"/>
          <w:b/>
          <w:sz w:val="18"/>
        </w:rPr>
        <w:t>表8  故障诊断数据集划分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91"/>
        <w:gridCol w:w="1191"/>
        <w:gridCol w:w="1191"/>
        <w:gridCol w:w="1191"/>
        <w:gridCol w:w="1474"/>
      </w:tblGrid>
      <w:tr w14:paraId="7AEF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7E6E6"/>
            <w:tcMar>
              <w:top w:w="60" w:type="dxa"/>
              <w:left w:w="80" w:type="dxa"/>
              <w:bottom w:w="60" w:type="dxa"/>
              <w:right w:w="80" w:type="dxa"/>
            </w:tcMar>
            <w:vAlign w:val="center"/>
          </w:tcPr>
          <w:p w14:paraId="16BB2339">
            <w:pPr>
              <w:spacing w:after="0" w:line="240" w:lineRule="auto"/>
              <w:jc w:val="center"/>
            </w:pPr>
            <w:r>
              <w:rPr>
                <w:rFonts w:ascii="Times New Roman" w:hAnsi="Times New Roman" w:eastAsia="黑体"/>
                <w:b/>
                <w:sz w:val="18"/>
              </w:rPr>
              <w:t>数据集</w:t>
            </w:r>
          </w:p>
        </w:tc>
        <w:tc>
          <w:tcPr>
            <w:tcW w:w="1191" w:type="dxa"/>
            <w:shd w:val="clear" w:color="auto" w:fill="E7E6E6"/>
            <w:tcMar>
              <w:top w:w="60" w:type="dxa"/>
              <w:left w:w="80" w:type="dxa"/>
              <w:bottom w:w="60" w:type="dxa"/>
              <w:right w:w="80" w:type="dxa"/>
            </w:tcMar>
            <w:vAlign w:val="center"/>
          </w:tcPr>
          <w:p w14:paraId="79FADD5C">
            <w:pPr>
              <w:spacing w:after="0" w:line="240" w:lineRule="auto"/>
              <w:jc w:val="center"/>
            </w:pPr>
            <w:r>
              <w:rPr>
                <w:rFonts w:ascii="Times New Roman" w:hAnsi="Times New Roman" w:eastAsia="黑体"/>
                <w:b/>
                <w:sz w:val="18"/>
              </w:rPr>
              <w:t>F0</w:t>
            </w:r>
          </w:p>
        </w:tc>
        <w:tc>
          <w:tcPr>
            <w:tcW w:w="1191" w:type="dxa"/>
            <w:shd w:val="clear" w:color="auto" w:fill="E7E6E6"/>
            <w:tcMar>
              <w:top w:w="60" w:type="dxa"/>
              <w:left w:w="80" w:type="dxa"/>
              <w:bottom w:w="60" w:type="dxa"/>
              <w:right w:w="80" w:type="dxa"/>
            </w:tcMar>
            <w:vAlign w:val="center"/>
          </w:tcPr>
          <w:p w14:paraId="5DB229B8">
            <w:pPr>
              <w:spacing w:after="0" w:line="240" w:lineRule="auto"/>
              <w:jc w:val="center"/>
            </w:pPr>
            <w:r>
              <w:rPr>
                <w:rFonts w:ascii="Times New Roman" w:hAnsi="Times New Roman" w:eastAsia="黑体"/>
                <w:b/>
                <w:sz w:val="18"/>
              </w:rPr>
              <w:t>F1</w:t>
            </w:r>
          </w:p>
        </w:tc>
        <w:tc>
          <w:tcPr>
            <w:tcW w:w="1191" w:type="dxa"/>
            <w:shd w:val="clear" w:color="auto" w:fill="E7E6E6"/>
            <w:tcMar>
              <w:top w:w="60" w:type="dxa"/>
              <w:left w:w="80" w:type="dxa"/>
              <w:bottom w:w="60" w:type="dxa"/>
              <w:right w:w="80" w:type="dxa"/>
            </w:tcMar>
            <w:vAlign w:val="center"/>
          </w:tcPr>
          <w:p w14:paraId="3244ABB9">
            <w:pPr>
              <w:spacing w:after="0" w:line="240" w:lineRule="auto"/>
              <w:jc w:val="center"/>
            </w:pPr>
            <w:r>
              <w:rPr>
                <w:rFonts w:ascii="Times New Roman" w:hAnsi="Times New Roman" w:eastAsia="黑体"/>
                <w:b/>
                <w:sz w:val="18"/>
              </w:rPr>
              <w:t>F2</w:t>
            </w:r>
          </w:p>
        </w:tc>
        <w:tc>
          <w:tcPr>
            <w:tcW w:w="1191" w:type="dxa"/>
            <w:shd w:val="clear" w:color="auto" w:fill="E7E6E6"/>
            <w:tcMar>
              <w:top w:w="60" w:type="dxa"/>
              <w:left w:w="80" w:type="dxa"/>
              <w:bottom w:w="60" w:type="dxa"/>
              <w:right w:w="80" w:type="dxa"/>
            </w:tcMar>
            <w:vAlign w:val="center"/>
          </w:tcPr>
          <w:p w14:paraId="49262ECC">
            <w:pPr>
              <w:spacing w:after="0" w:line="240" w:lineRule="auto"/>
              <w:jc w:val="center"/>
            </w:pPr>
            <w:r>
              <w:rPr>
                <w:rFonts w:ascii="Times New Roman" w:hAnsi="Times New Roman" w:eastAsia="黑体"/>
                <w:b/>
                <w:sz w:val="18"/>
              </w:rPr>
              <w:t>F3</w:t>
            </w:r>
          </w:p>
        </w:tc>
        <w:tc>
          <w:tcPr>
            <w:tcW w:w="1474" w:type="dxa"/>
            <w:shd w:val="clear" w:color="auto" w:fill="E7E6E6"/>
            <w:tcMar>
              <w:top w:w="60" w:type="dxa"/>
              <w:left w:w="80" w:type="dxa"/>
              <w:bottom w:w="60" w:type="dxa"/>
              <w:right w:w="80" w:type="dxa"/>
            </w:tcMar>
            <w:vAlign w:val="center"/>
          </w:tcPr>
          <w:p w14:paraId="25D07BA7">
            <w:pPr>
              <w:spacing w:after="0" w:line="240" w:lineRule="auto"/>
              <w:jc w:val="center"/>
            </w:pPr>
            <w:r>
              <w:rPr>
                <w:rFonts w:ascii="Times New Roman" w:hAnsi="Times New Roman" w:eastAsia="黑体"/>
                <w:b/>
                <w:sz w:val="18"/>
              </w:rPr>
              <w:t>合计</w:t>
            </w:r>
          </w:p>
        </w:tc>
      </w:tr>
      <w:tr w14:paraId="33E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60" w:type="dxa"/>
              <w:left w:w="80" w:type="dxa"/>
              <w:bottom w:w="60" w:type="dxa"/>
              <w:right w:w="80" w:type="dxa"/>
            </w:tcMar>
            <w:vAlign w:val="center"/>
          </w:tcPr>
          <w:p w14:paraId="74F97757">
            <w:pPr>
              <w:spacing w:after="0" w:line="240" w:lineRule="auto"/>
              <w:jc w:val="center"/>
            </w:pPr>
            <w:r>
              <w:rPr>
                <w:rFonts w:ascii="Times New Roman" w:hAnsi="Times New Roman" w:eastAsia="宋体"/>
                <w:sz w:val="18"/>
              </w:rPr>
              <w:t>训练集</w:t>
            </w:r>
          </w:p>
        </w:tc>
        <w:tc>
          <w:tcPr>
            <w:tcW w:w="1191" w:type="dxa"/>
            <w:tcMar>
              <w:top w:w="60" w:type="dxa"/>
              <w:left w:w="80" w:type="dxa"/>
              <w:bottom w:w="60" w:type="dxa"/>
              <w:right w:w="80" w:type="dxa"/>
            </w:tcMar>
            <w:vAlign w:val="center"/>
          </w:tcPr>
          <w:p w14:paraId="7698A109">
            <w:pPr>
              <w:spacing w:after="0" w:line="240" w:lineRule="auto"/>
              <w:jc w:val="left"/>
            </w:pPr>
            <w:r>
              <w:rPr>
                <w:rFonts w:ascii="Times New Roman" w:hAnsi="Times New Roman" w:eastAsia="宋体"/>
                <w:sz w:val="18"/>
              </w:rPr>
              <w:t>428</w:t>
            </w:r>
          </w:p>
        </w:tc>
        <w:tc>
          <w:tcPr>
            <w:tcW w:w="1191" w:type="dxa"/>
            <w:tcMar>
              <w:top w:w="60" w:type="dxa"/>
              <w:left w:w="80" w:type="dxa"/>
              <w:bottom w:w="60" w:type="dxa"/>
              <w:right w:w="80" w:type="dxa"/>
            </w:tcMar>
            <w:vAlign w:val="center"/>
          </w:tcPr>
          <w:p w14:paraId="00B863CD">
            <w:pPr>
              <w:spacing w:after="0" w:line="240" w:lineRule="auto"/>
              <w:jc w:val="left"/>
            </w:pPr>
            <w:r>
              <w:rPr>
                <w:rFonts w:ascii="Times New Roman" w:hAnsi="Times New Roman" w:eastAsia="宋体"/>
                <w:sz w:val="18"/>
              </w:rPr>
              <w:t>428</w:t>
            </w:r>
          </w:p>
        </w:tc>
        <w:tc>
          <w:tcPr>
            <w:tcW w:w="1191" w:type="dxa"/>
            <w:tcMar>
              <w:top w:w="60" w:type="dxa"/>
              <w:left w:w="80" w:type="dxa"/>
              <w:bottom w:w="60" w:type="dxa"/>
              <w:right w:w="80" w:type="dxa"/>
            </w:tcMar>
            <w:vAlign w:val="center"/>
          </w:tcPr>
          <w:p w14:paraId="0BC47D51">
            <w:pPr>
              <w:spacing w:after="0" w:line="240" w:lineRule="auto"/>
              <w:jc w:val="left"/>
            </w:pPr>
            <w:r>
              <w:rPr>
                <w:rFonts w:ascii="Times New Roman" w:hAnsi="Times New Roman" w:eastAsia="宋体"/>
                <w:sz w:val="18"/>
              </w:rPr>
              <w:t>428</w:t>
            </w:r>
          </w:p>
        </w:tc>
        <w:tc>
          <w:tcPr>
            <w:tcW w:w="1191" w:type="dxa"/>
            <w:tcMar>
              <w:top w:w="60" w:type="dxa"/>
              <w:left w:w="80" w:type="dxa"/>
              <w:bottom w:w="60" w:type="dxa"/>
              <w:right w:w="80" w:type="dxa"/>
            </w:tcMar>
            <w:vAlign w:val="center"/>
          </w:tcPr>
          <w:p w14:paraId="41C1E22E">
            <w:pPr>
              <w:spacing w:after="0" w:line="240" w:lineRule="auto"/>
              <w:jc w:val="left"/>
            </w:pPr>
            <w:r>
              <w:rPr>
                <w:rFonts w:ascii="Times New Roman" w:hAnsi="Times New Roman" w:eastAsia="宋体"/>
                <w:sz w:val="18"/>
              </w:rPr>
              <w:t>428</w:t>
            </w:r>
          </w:p>
        </w:tc>
        <w:tc>
          <w:tcPr>
            <w:tcW w:w="1474" w:type="dxa"/>
            <w:tcMar>
              <w:top w:w="60" w:type="dxa"/>
              <w:left w:w="80" w:type="dxa"/>
              <w:bottom w:w="60" w:type="dxa"/>
              <w:right w:w="80" w:type="dxa"/>
            </w:tcMar>
            <w:vAlign w:val="center"/>
          </w:tcPr>
          <w:p w14:paraId="77F68828">
            <w:pPr>
              <w:spacing w:after="0" w:line="240" w:lineRule="auto"/>
              <w:jc w:val="left"/>
            </w:pPr>
            <w:r>
              <w:rPr>
                <w:rFonts w:ascii="Times New Roman" w:hAnsi="Times New Roman" w:eastAsia="宋体"/>
                <w:sz w:val="18"/>
              </w:rPr>
              <w:t>1712</w:t>
            </w:r>
          </w:p>
        </w:tc>
      </w:tr>
      <w:tr w14:paraId="1E6CE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60" w:type="dxa"/>
              <w:left w:w="80" w:type="dxa"/>
              <w:bottom w:w="60" w:type="dxa"/>
              <w:right w:w="80" w:type="dxa"/>
            </w:tcMar>
            <w:vAlign w:val="center"/>
          </w:tcPr>
          <w:p w14:paraId="1FD1CCB2">
            <w:pPr>
              <w:spacing w:after="0" w:line="240" w:lineRule="auto"/>
              <w:jc w:val="center"/>
            </w:pPr>
            <w:r>
              <w:rPr>
                <w:rFonts w:ascii="Times New Roman" w:hAnsi="Times New Roman" w:eastAsia="宋体"/>
                <w:sz w:val="18"/>
              </w:rPr>
              <w:t>验证集</w:t>
            </w:r>
          </w:p>
        </w:tc>
        <w:tc>
          <w:tcPr>
            <w:tcW w:w="1191" w:type="dxa"/>
            <w:tcMar>
              <w:top w:w="60" w:type="dxa"/>
              <w:left w:w="80" w:type="dxa"/>
              <w:bottom w:w="60" w:type="dxa"/>
              <w:right w:w="80" w:type="dxa"/>
            </w:tcMar>
            <w:vAlign w:val="center"/>
          </w:tcPr>
          <w:p w14:paraId="5419D04E">
            <w:pPr>
              <w:spacing w:after="0" w:line="240" w:lineRule="auto"/>
              <w:jc w:val="left"/>
            </w:pPr>
            <w:r>
              <w:rPr>
                <w:rFonts w:ascii="Times New Roman" w:hAnsi="Times New Roman" w:eastAsia="宋体"/>
                <w:sz w:val="18"/>
              </w:rPr>
              <w:t>139</w:t>
            </w:r>
          </w:p>
        </w:tc>
        <w:tc>
          <w:tcPr>
            <w:tcW w:w="1191" w:type="dxa"/>
            <w:tcMar>
              <w:top w:w="60" w:type="dxa"/>
              <w:left w:w="80" w:type="dxa"/>
              <w:bottom w:w="60" w:type="dxa"/>
              <w:right w:w="80" w:type="dxa"/>
            </w:tcMar>
            <w:vAlign w:val="center"/>
          </w:tcPr>
          <w:p w14:paraId="0E901687">
            <w:pPr>
              <w:spacing w:after="0" w:line="240" w:lineRule="auto"/>
              <w:jc w:val="left"/>
            </w:pPr>
            <w:r>
              <w:rPr>
                <w:rFonts w:ascii="Times New Roman" w:hAnsi="Times New Roman" w:eastAsia="宋体"/>
                <w:sz w:val="18"/>
              </w:rPr>
              <w:t>139</w:t>
            </w:r>
          </w:p>
        </w:tc>
        <w:tc>
          <w:tcPr>
            <w:tcW w:w="1191" w:type="dxa"/>
            <w:tcMar>
              <w:top w:w="60" w:type="dxa"/>
              <w:left w:w="80" w:type="dxa"/>
              <w:bottom w:w="60" w:type="dxa"/>
              <w:right w:w="80" w:type="dxa"/>
            </w:tcMar>
            <w:vAlign w:val="center"/>
          </w:tcPr>
          <w:p w14:paraId="3E19345F">
            <w:pPr>
              <w:spacing w:after="0" w:line="240" w:lineRule="auto"/>
              <w:jc w:val="left"/>
            </w:pPr>
            <w:r>
              <w:rPr>
                <w:rFonts w:ascii="Times New Roman" w:hAnsi="Times New Roman" w:eastAsia="宋体"/>
                <w:sz w:val="18"/>
              </w:rPr>
              <w:t>139</w:t>
            </w:r>
          </w:p>
        </w:tc>
        <w:tc>
          <w:tcPr>
            <w:tcW w:w="1191" w:type="dxa"/>
            <w:tcMar>
              <w:top w:w="60" w:type="dxa"/>
              <w:left w:w="80" w:type="dxa"/>
              <w:bottom w:w="60" w:type="dxa"/>
              <w:right w:w="80" w:type="dxa"/>
            </w:tcMar>
            <w:vAlign w:val="center"/>
          </w:tcPr>
          <w:p w14:paraId="5A25ABA2">
            <w:pPr>
              <w:spacing w:after="0" w:line="240" w:lineRule="auto"/>
              <w:jc w:val="left"/>
            </w:pPr>
            <w:r>
              <w:rPr>
                <w:rFonts w:ascii="Times New Roman" w:hAnsi="Times New Roman" w:eastAsia="宋体"/>
                <w:sz w:val="18"/>
              </w:rPr>
              <w:t>139</w:t>
            </w:r>
          </w:p>
        </w:tc>
        <w:tc>
          <w:tcPr>
            <w:tcW w:w="1474" w:type="dxa"/>
            <w:tcMar>
              <w:top w:w="60" w:type="dxa"/>
              <w:left w:w="80" w:type="dxa"/>
              <w:bottom w:w="60" w:type="dxa"/>
              <w:right w:w="80" w:type="dxa"/>
            </w:tcMar>
            <w:vAlign w:val="center"/>
          </w:tcPr>
          <w:p w14:paraId="29EAAE64">
            <w:pPr>
              <w:spacing w:after="0" w:line="240" w:lineRule="auto"/>
              <w:jc w:val="left"/>
            </w:pPr>
            <w:r>
              <w:rPr>
                <w:rFonts w:ascii="Times New Roman" w:hAnsi="Times New Roman" w:eastAsia="宋体"/>
                <w:sz w:val="18"/>
              </w:rPr>
              <w:t>556</w:t>
            </w:r>
          </w:p>
        </w:tc>
      </w:tr>
      <w:tr w14:paraId="278B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60" w:type="dxa"/>
              <w:left w:w="80" w:type="dxa"/>
              <w:bottom w:w="60" w:type="dxa"/>
              <w:right w:w="80" w:type="dxa"/>
            </w:tcMar>
            <w:vAlign w:val="center"/>
          </w:tcPr>
          <w:p w14:paraId="2D0608B6">
            <w:pPr>
              <w:spacing w:after="0" w:line="240" w:lineRule="auto"/>
              <w:jc w:val="center"/>
            </w:pPr>
            <w:r>
              <w:rPr>
                <w:rFonts w:ascii="Times New Roman" w:hAnsi="Times New Roman" w:eastAsia="宋体"/>
                <w:sz w:val="18"/>
              </w:rPr>
              <w:t>测试集</w:t>
            </w:r>
          </w:p>
        </w:tc>
        <w:tc>
          <w:tcPr>
            <w:tcW w:w="1191" w:type="dxa"/>
            <w:tcMar>
              <w:top w:w="60" w:type="dxa"/>
              <w:left w:w="80" w:type="dxa"/>
              <w:bottom w:w="60" w:type="dxa"/>
              <w:right w:w="80" w:type="dxa"/>
            </w:tcMar>
            <w:vAlign w:val="center"/>
          </w:tcPr>
          <w:p w14:paraId="679B3B1F">
            <w:pPr>
              <w:spacing w:after="0" w:line="240" w:lineRule="auto"/>
              <w:jc w:val="left"/>
            </w:pPr>
            <w:r>
              <w:rPr>
                <w:rFonts w:ascii="Times New Roman" w:hAnsi="Times New Roman" w:eastAsia="宋体"/>
                <w:sz w:val="18"/>
              </w:rPr>
              <w:t>140</w:t>
            </w:r>
          </w:p>
        </w:tc>
        <w:tc>
          <w:tcPr>
            <w:tcW w:w="1191" w:type="dxa"/>
            <w:tcMar>
              <w:top w:w="60" w:type="dxa"/>
              <w:left w:w="80" w:type="dxa"/>
              <w:bottom w:w="60" w:type="dxa"/>
              <w:right w:w="80" w:type="dxa"/>
            </w:tcMar>
            <w:vAlign w:val="center"/>
          </w:tcPr>
          <w:p w14:paraId="52571D83">
            <w:pPr>
              <w:spacing w:after="0" w:line="240" w:lineRule="auto"/>
              <w:jc w:val="left"/>
            </w:pPr>
            <w:r>
              <w:rPr>
                <w:rFonts w:ascii="Times New Roman" w:hAnsi="Times New Roman" w:eastAsia="宋体"/>
                <w:sz w:val="18"/>
              </w:rPr>
              <w:t>140</w:t>
            </w:r>
          </w:p>
        </w:tc>
        <w:tc>
          <w:tcPr>
            <w:tcW w:w="1191" w:type="dxa"/>
            <w:tcMar>
              <w:top w:w="60" w:type="dxa"/>
              <w:left w:w="80" w:type="dxa"/>
              <w:bottom w:w="60" w:type="dxa"/>
              <w:right w:w="80" w:type="dxa"/>
            </w:tcMar>
            <w:vAlign w:val="center"/>
          </w:tcPr>
          <w:p w14:paraId="51895A36">
            <w:pPr>
              <w:spacing w:after="0" w:line="240" w:lineRule="auto"/>
              <w:jc w:val="left"/>
            </w:pPr>
            <w:r>
              <w:rPr>
                <w:rFonts w:ascii="Times New Roman" w:hAnsi="Times New Roman" w:eastAsia="宋体"/>
                <w:sz w:val="18"/>
              </w:rPr>
              <w:t>140</w:t>
            </w:r>
          </w:p>
        </w:tc>
        <w:tc>
          <w:tcPr>
            <w:tcW w:w="1191" w:type="dxa"/>
            <w:tcMar>
              <w:top w:w="60" w:type="dxa"/>
              <w:left w:w="80" w:type="dxa"/>
              <w:bottom w:w="60" w:type="dxa"/>
              <w:right w:w="80" w:type="dxa"/>
            </w:tcMar>
            <w:vAlign w:val="center"/>
          </w:tcPr>
          <w:p w14:paraId="12E94930">
            <w:pPr>
              <w:spacing w:after="0" w:line="240" w:lineRule="auto"/>
              <w:jc w:val="left"/>
            </w:pPr>
            <w:r>
              <w:rPr>
                <w:rFonts w:ascii="Times New Roman" w:hAnsi="Times New Roman" w:eastAsia="宋体"/>
                <w:sz w:val="18"/>
              </w:rPr>
              <w:t>140</w:t>
            </w:r>
          </w:p>
        </w:tc>
        <w:tc>
          <w:tcPr>
            <w:tcW w:w="1474" w:type="dxa"/>
            <w:tcMar>
              <w:top w:w="60" w:type="dxa"/>
              <w:left w:w="80" w:type="dxa"/>
              <w:bottom w:w="60" w:type="dxa"/>
              <w:right w:w="80" w:type="dxa"/>
            </w:tcMar>
            <w:vAlign w:val="center"/>
          </w:tcPr>
          <w:p w14:paraId="2328BD3C">
            <w:pPr>
              <w:spacing w:after="0" w:line="240" w:lineRule="auto"/>
              <w:jc w:val="left"/>
            </w:pPr>
            <w:r>
              <w:rPr>
                <w:rFonts w:ascii="Times New Roman" w:hAnsi="Times New Roman" w:eastAsia="宋体"/>
                <w:sz w:val="18"/>
              </w:rPr>
              <w:t>560</w:t>
            </w:r>
          </w:p>
        </w:tc>
      </w:tr>
    </w:tbl>
    <w:p w14:paraId="4F07D243">
      <w:pPr>
        <w:spacing w:after="0"/>
      </w:pPr>
    </w:p>
    <w:p w14:paraId="49FF4F03">
      <w:pPr>
        <w:pStyle w:val="164"/>
      </w:pPr>
      <w:r>
        <w:rPr>
          <w:rFonts w:ascii="Times New Roman" w:hAnsi="Times New Roman" w:eastAsia="宋体"/>
          <w:b w:val="0"/>
          <w:sz w:val="21"/>
        </w:rPr>
        <w:t>为比较是否显式利用知识拓扑，设置CNN和AE作为对照。CNN直接读取24×60参数—时间偏差矩阵，通过二维卷积提取局部时序模式；AE将同一矩阵展平为1440维向量，以1440→256→64编码器学习低维重构表示，随后冻结编码器并训练分类头。三种模型使用完全相同的数据划分与故障类别。评价指标采用Accuracy、Precision、Recall和Macro-F1，其中Macro-F1对各故障类别的F1等权平均，用于减少单一类别样本规模对总体结果的影响。</w:t>
      </w:r>
    </w:p>
    <w:p w14:paraId="5EA6C2F1">
      <w:pPr>
        <w:spacing w:before="40" w:after="40"/>
        <w:jc w:val="center"/>
      </w:pPr>
      <w:r>
        <w:rPr>
          <w:rFonts w:ascii="Cambria Math" w:hAnsi="Cambria Math" w:eastAsia="Cambria Math"/>
          <w:sz w:val="21"/>
        </w:rPr>
        <w:t>Accuracy = (Σ_c TP_c) / N_test</w:t>
      </w:r>
    </w:p>
    <w:p w14:paraId="146F6203">
      <w:pPr>
        <w:spacing w:before="40" w:after="40"/>
        <w:jc w:val="center"/>
      </w:pPr>
      <w:r>
        <w:rPr>
          <w:rFonts w:ascii="Cambria Math" w:hAnsi="Cambria Math" w:eastAsia="Cambria Math"/>
          <w:sz w:val="21"/>
        </w:rPr>
        <w:t>F1_c = 2·Precision_c·Recall_c / (Precision_c + Recall_c)</w:t>
      </w:r>
    </w:p>
    <w:p w14:paraId="668C3F45">
      <w:pPr>
        <w:pStyle w:val="166"/>
      </w:pPr>
      <w:r>
        <w:rPr>
          <w:rFonts w:ascii="Times New Roman" w:hAnsi="Times New Roman" w:eastAsia="黑体"/>
          <w:b/>
          <w:sz w:val="21"/>
        </w:rPr>
        <w:t>4.3 诊断结果与对比</w:t>
      </w:r>
    </w:p>
    <w:p w14:paraId="107575B2">
      <w:pPr>
        <w:pStyle w:val="164"/>
      </w:pPr>
      <w:r>
        <w:rPr>
          <w:rFonts w:ascii="Times New Roman" w:hAnsi="Times New Roman" w:eastAsia="宋体"/>
          <w:b w:val="0"/>
          <w:sz w:val="21"/>
        </w:rPr>
        <w:t>表9给出了固定随机种子123下三种模型在独立测试集上的诊断结果。KG-GCN的Accuracy和Macro-F1分别达到98.57%和98.58%，均高于CNN和AE。CNN能够从参数—时间矩阵中提取局部模式，但其卷积邻域由规则网格决定，不能直接表示参数在真实汽轮机系统中的设备位置；AE主要学习整体重构分布，同样缺少设备连接约束。KG-GCN则在状态偏差之外引入经知识图谱校核的参数邻接，使参数特征在与其具有实际工程关系的邻域之间传播，因此在当前四类诊断场景中总体误判数量最低。</w:t>
      </w:r>
    </w:p>
    <w:p w14:paraId="3B59D891">
      <w:pPr>
        <w:keepNext/>
        <w:spacing w:before="80" w:after="40"/>
        <w:jc w:val="center"/>
      </w:pPr>
      <w:r>
        <w:rPr>
          <w:rFonts w:ascii="Times New Roman" w:hAnsi="Times New Roman" w:eastAsia="黑体"/>
          <w:b/>
          <w:sz w:val="18"/>
        </w:rPr>
        <w:t>表9  CNN、AE与KG-GCN故障诊断结果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701"/>
        <w:gridCol w:w="1701"/>
        <w:gridCol w:w="1701"/>
        <w:gridCol w:w="1701"/>
      </w:tblGrid>
      <w:tr w14:paraId="4DD6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E7E6E6"/>
            <w:tcMar>
              <w:top w:w="60" w:type="dxa"/>
              <w:left w:w="80" w:type="dxa"/>
              <w:bottom w:w="60" w:type="dxa"/>
              <w:right w:w="80" w:type="dxa"/>
            </w:tcMar>
            <w:vAlign w:val="center"/>
          </w:tcPr>
          <w:p w14:paraId="6764819D">
            <w:pPr>
              <w:spacing w:after="0" w:line="240" w:lineRule="auto"/>
              <w:jc w:val="center"/>
            </w:pPr>
            <w:r>
              <w:rPr>
                <w:rFonts w:ascii="Times New Roman" w:hAnsi="Times New Roman" w:eastAsia="黑体"/>
                <w:b/>
                <w:sz w:val="18"/>
              </w:rPr>
              <w:t>模型</w:t>
            </w:r>
          </w:p>
        </w:tc>
        <w:tc>
          <w:tcPr>
            <w:tcW w:w="1701" w:type="dxa"/>
            <w:shd w:val="clear" w:color="auto" w:fill="E7E6E6"/>
            <w:tcMar>
              <w:top w:w="60" w:type="dxa"/>
              <w:left w:w="80" w:type="dxa"/>
              <w:bottom w:w="60" w:type="dxa"/>
              <w:right w:w="80" w:type="dxa"/>
            </w:tcMar>
            <w:vAlign w:val="center"/>
          </w:tcPr>
          <w:p w14:paraId="5E9EFCFF">
            <w:pPr>
              <w:spacing w:after="0" w:line="240" w:lineRule="auto"/>
              <w:jc w:val="center"/>
            </w:pPr>
            <w:r>
              <w:rPr>
                <w:rFonts w:ascii="Times New Roman" w:hAnsi="Times New Roman" w:eastAsia="黑体"/>
                <w:b/>
                <w:sz w:val="18"/>
              </w:rPr>
              <w:t>Accuracy/%</w:t>
            </w:r>
          </w:p>
        </w:tc>
        <w:tc>
          <w:tcPr>
            <w:tcW w:w="1701" w:type="dxa"/>
            <w:shd w:val="clear" w:color="auto" w:fill="E7E6E6"/>
            <w:tcMar>
              <w:top w:w="60" w:type="dxa"/>
              <w:left w:w="80" w:type="dxa"/>
              <w:bottom w:w="60" w:type="dxa"/>
              <w:right w:w="80" w:type="dxa"/>
            </w:tcMar>
            <w:vAlign w:val="center"/>
          </w:tcPr>
          <w:p w14:paraId="7C3A7B29">
            <w:pPr>
              <w:spacing w:after="0" w:line="240" w:lineRule="auto"/>
              <w:jc w:val="center"/>
            </w:pPr>
            <w:r>
              <w:rPr>
                <w:rFonts w:ascii="Times New Roman" w:hAnsi="Times New Roman" w:eastAsia="黑体"/>
                <w:b/>
                <w:sz w:val="18"/>
              </w:rPr>
              <w:t>Precision/%</w:t>
            </w:r>
          </w:p>
        </w:tc>
        <w:tc>
          <w:tcPr>
            <w:tcW w:w="1701" w:type="dxa"/>
            <w:shd w:val="clear" w:color="auto" w:fill="E7E6E6"/>
            <w:tcMar>
              <w:top w:w="60" w:type="dxa"/>
              <w:left w:w="80" w:type="dxa"/>
              <w:bottom w:w="60" w:type="dxa"/>
              <w:right w:w="80" w:type="dxa"/>
            </w:tcMar>
            <w:vAlign w:val="center"/>
          </w:tcPr>
          <w:p w14:paraId="5594955A">
            <w:pPr>
              <w:spacing w:after="0" w:line="240" w:lineRule="auto"/>
              <w:jc w:val="center"/>
            </w:pPr>
            <w:r>
              <w:rPr>
                <w:rFonts w:ascii="Times New Roman" w:hAnsi="Times New Roman" w:eastAsia="黑体"/>
                <w:b/>
                <w:sz w:val="18"/>
              </w:rPr>
              <w:t>Recall/%</w:t>
            </w:r>
          </w:p>
        </w:tc>
        <w:tc>
          <w:tcPr>
            <w:tcW w:w="1701" w:type="dxa"/>
            <w:shd w:val="clear" w:color="auto" w:fill="E7E6E6"/>
            <w:tcMar>
              <w:top w:w="60" w:type="dxa"/>
              <w:left w:w="80" w:type="dxa"/>
              <w:bottom w:w="60" w:type="dxa"/>
              <w:right w:w="80" w:type="dxa"/>
            </w:tcMar>
            <w:vAlign w:val="center"/>
          </w:tcPr>
          <w:p w14:paraId="7FAF7927">
            <w:pPr>
              <w:spacing w:after="0" w:line="240" w:lineRule="auto"/>
              <w:jc w:val="center"/>
            </w:pPr>
            <w:r>
              <w:rPr>
                <w:rFonts w:ascii="Times New Roman" w:hAnsi="Times New Roman" w:eastAsia="黑体"/>
                <w:b/>
                <w:sz w:val="18"/>
              </w:rPr>
              <w:t>Macro-F1/%</w:t>
            </w:r>
          </w:p>
        </w:tc>
      </w:tr>
      <w:tr w14:paraId="61CC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60" w:type="dxa"/>
              <w:left w:w="80" w:type="dxa"/>
              <w:bottom w:w="60" w:type="dxa"/>
              <w:right w:w="80" w:type="dxa"/>
            </w:tcMar>
            <w:vAlign w:val="center"/>
          </w:tcPr>
          <w:p w14:paraId="283A5300">
            <w:pPr>
              <w:spacing w:after="0" w:line="240" w:lineRule="auto"/>
              <w:jc w:val="center"/>
            </w:pPr>
            <w:r>
              <w:rPr>
                <w:rFonts w:ascii="Times New Roman" w:hAnsi="Times New Roman" w:eastAsia="宋体"/>
                <w:sz w:val="18"/>
              </w:rPr>
              <w:t>CNN</w:t>
            </w:r>
          </w:p>
        </w:tc>
        <w:tc>
          <w:tcPr>
            <w:tcW w:w="1701" w:type="dxa"/>
            <w:tcMar>
              <w:top w:w="60" w:type="dxa"/>
              <w:left w:w="80" w:type="dxa"/>
              <w:bottom w:w="60" w:type="dxa"/>
              <w:right w:w="80" w:type="dxa"/>
            </w:tcMar>
            <w:vAlign w:val="center"/>
          </w:tcPr>
          <w:p w14:paraId="0D79A654">
            <w:pPr>
              <w:spacing w:after="0" w:line="240" w:lineRule="auto"/>
              <w:jc w:val="left"/>
            </w:pPr>
            <w:r>
              <w:rPr>
                <w:rFonts w:ascii="Times New Roman" w:hAnsi="Times New Roman" w:eastAsia="宋体"/>
                <w:sz w:val="18"/>
              </w:rPr>
              <w:t>97.86</w:t>
            </w:r>
          </w:p>
        </w:tc>
        <w:tc>
          <w:tcPr>
            <w:tcW w:w="1701" w:type="dxa"/>
            <w:tcMar>
              <w:top w:w="60" w:type="dxa"/>
              <w:left w:w="80" w:type="dxa"/>
              <w:bottom w:w="60" w:type="dxa"/>
              <w:right w:w="80" w:type="dxa"/>
            </w:tcMar>
            <w:vAlign w:val="center"/>
          </w:tcPr>
          <w:p w14:paraId="0A0F250D">
            <w:pPr>
              <w:spacing w:after="0" w:line="240" w:lineRule="auto"/>
              <w:jc w:val="left"/>
            </w:pPr>
            <w:r>
              <w:rPr>
                <w:rFonts w:ascii="Times New Roman" w:hAnsi="Times New Roman" w:eastAsia="宋体"/>
                <w:sz w:val="18"/>
              </w:rPr>
              <w:t>97.89</w:t>
            </w:r>
          </w:p>
        </w:tc>
        <w:tc>
          <w:tcPr>
            <w:tcW w:w="1701" w:type="dxa"/>
            <w:tcMar>
              <w:top w:w="60" w:type="dxa"/>
              <w:left w:w="80" w:type="dxa"/>
              <w:bottom w:w="60" w:type="dxa"/>
              <w:right w:w="80" w:type="dxa"/>
            </w:tcMar>
            <w:vAlign w:val="center"/>
          </w:tcPr>
          <w:p w14:paraId="7695EA0B">
            <w:pPr>
              <w:spacing w:after="0" w:line="240" w:lineRule="auto"/>
              <w:jc w:val="left"/>
            </w:pPr>
            <w:r>
              <w:rPr>
                <w:rFonts w:ascii="Times New Roman" w:hAnsi="Times New Roman" w:eastAsia="宋体"/>
                <w:sz w:val="18"/>
              </w:rPr>
              <w:t>97.86</w:t>
            </w:r>
          </w:p>
        </w:tc>
        <w:tc>
          <w:tcPr>
            <w:tcW w:w="1701" w:type="dxa"/>
            <w:tcMar>
              <w:top w:w="60" w:type="dxa"/>
              <w:left w:w="80" w:type="dxa"/>
              <w:bottom w:w="60" w:type="dxa"/>
              <w:right w:w="80" w:type="dxa"/>
            </w:tcMar>
            <w:vAlign w:val="center"/>
          </w:tcPr>
          <w:p w14:paraId="46A545DA">
            <w:pPr>
              <w:spacing w:after="0" w:line="240" w:lineRule="auto"/>
              <w:jc w:val="left"/>
            </w:pPr>
            <w:r>
              <w:rPr>
                <w:rFonts w:ascii="Times New Roman" w:hAnsi="Times New Roman" w:eastAsia="宋体"/>
                <w:sz w:val="18"/>
              </w:rPr>
              <w:t>97.85</w:t>
            </w:r>
          </w:p>
        </w:tc>
      </w:tr>
      <w:tr w14:paraId="0A72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60" w:type="dxa"/>
              <w:left w:w="80" w:type="dxa"/>
              <w:bottom w:w="60" w:type="dxa"/>
              <w:right w:w="80" w:type="dxa"/>
            </w:tcMar>
            <w:vAlign w:val="center"/>
          </w:tcPr>
          <w:p w14:paraId="024D6B8B">
            <w:pPr>
              <w:spacing w:after="0" w:line="240" w:lineRule="auto"/>
              <w:jc w:val="center"/>
            </w:pPr>
            <w:r>
              <w:rPr>
                <w:rFonts w:ascii="Times New Roman" w:hAnsi="Times New Roman" w:eastAsia="宋体"/>
                <w:sz w:val="18"/>
              </w:rPr>
              <w:t>AE</w:t>
            </w:r>
          </w:p>
        </w:tc>
        <w:tc>
          <w:tcPr>
            <w:tcW w:w="1701" w:type="dxa"/>
            <w:tcMar>
              <w:top w:w="60" w:type="dxa"/>
              <w:left w:w="80" w:type="dxa"/>
              <w:bottom w:w="60" w:type="dxa"/>
              <w:right w:w="80" w:type="dxa"/>
            </w:tcMar>
            <w:vAlign w:val="center"/>
          </w:tcPr>
          <w:p w14:paraId="0AA64D97">
            <w:pPr>
              <w:spacing w:after="0" w:line="240" w:lineRule="auto"/>
              <w:jc w:val="left"/>
            </w:pPr>
            <w:r>
              <w:rPr>
                <w:rFonts w:ascii="Times New Roman" w:hAnsi="Times New Roman" w:eastAsia="宋体"/>
                <w:sz w:val="18"/>
              </w:rPr>
              <w:t>95.54</w:t>
            </w:r>
          </w:p>
        </w:tc>
        <w:tc>
          <w:tcPr>
            <w:tcW w:w="1701" w:type="dxa"/>
            <w:tcMar>
              <w:top w:w="60" w:type="dxa"/>
              <w:left w:w="80" w:type="dxa"/>
              <w:bottom w:w="60" w:type="dxa"/>
              <w:right w:w="80" w:type="dxa"/>
            </w:tcMar>
            <w:vAlign w:val="center"/>
          </w:tcPr>
          <w:p w14:paraId="39958362">
            <w:pPr>
              <w:spacing w:after="0" w:line="240" w:lineRule="auto"/>
              <w:jc w:val="left"/>
            </w:pPr>
            <w:r>
              <w:rPr>
                <w:rFonts w:ascii="Times New Roman" w:hAnsi="Times New Roman" w:eastAsia="宋体"/>
                <w:sz w:val="18"/>
              </w:rPr>
              <w:t>95.57</w:t>
            </w:r>
          </w:p>
        </w:tc>
        <w:tc>
          <w:tcPr>
            <w:tcW w:w="1701" w:type="dxa"/>
            <w:tcMar>
              <w:top w:w="60" w:type="dxa"/>
              <w:left w:w="80" w:type="dxa"/>
              <w:bottom w:w="60" w:type="dxa"/>
              <w:right w:w="80" w:type="dxa"/>
            </w:tcMar>
            <w:vAlign w:val="center"/>
          </w:tcPr>
          <w:p w14:paraId="53D94144">
            <w:pPr>
              <w:spacing w:after="0" w:line="240" w:lineRule="auto"/>
              <w:jc w:val="left"/>
            </w:pPr>
            <w:r>
              <w:rPr>
                <w:rFonts w:ascii="Times New Roman" w:hAnsi="Times New Roman" w:eastAsia="宋体"/>
                <w:sz w:val="18"/>
              </w:rPr>
              <w:t>95.54</w:t>
            </w:r>
          </w:p>
        </w:tc>
        <w:tc>
          <w:tcPr>
            <w:tcW w:w="1701" w:type="dxa"/>
            <w:tcMar>
              <w:top w:w="60" w:type="dxa"/>
              <w:left w:w="80" w:type="dxa"/>
              <w:bottom w:w="60" w:type="dxa"/>
              <w:right w:w="80" w:type="dxa"/>
            </w:tcMar>
            <w:vAlign w:val="center"/>
          </w:tcPr>
          <w:p w14:paraId="5CF23B79">
            <w:pPr>
              <w:spacing w:after="0" w:line="240" w:lineRule="auto"/>
              <w:jc w:val="left"/>
            </w:pPr>
            <w:r>
              <w:rPr>
                <w:rFonts w:ascii="Times New Roman" w:hAnsi="Times New Roman" w:eastAsia="宋体"/>
                <w:sz w:val="18"/>
              </w:rPr>
              <w:t>95.54</w:t>
            </w:r>
          </w:p>
        </w:tc>
      </w:tr>
      <w:tr w14:paraId="3D520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60" w:type="dxa"/>
              <w:left w:w="80" w:type="dxa"/>
              <w:bottom w:w="60" w:type="dxa"/>
              <w:right w:w="80" w:type="dxa"/>
            </w:tcMar>
            <w:vAlign w:val="center"/>
          </w:tcPr>
          <w:p w14:paraId="5EAC15D5">
            <w:pPr>
              <w:spacing w:after="0" w:line="240" w:lineRule="auto"/>
              <w:jc w:val="center"/>
            </w:pPr>
            <w:r>
              <w:rPr>
                <w:rFonts w:ascii="Times New Roman" w:hAnsi="Times New Roman" w:eastAsia="宋体"/>
                <w:sz w:val="18"/>
              </w:rPr>
              <w:t>KG-GCN</w:t>
            </w:r>
          </w:p>
        </w:tc>
        <w:tc>
          <w:tcPr>
            <w:tcW w:w="1701" w:type="dxa"/>
            <w:tcMar>
              <w:top w:w="60" w:type="dxa"/>
              <w:left w:w="80" w:type="dxa"/>
              <w:bottom w:w="60" w:type="dxa"/>
              <w:right w:w="80" w:type="dxa"/>
            </w:tcMar>
            <w:vAlign w:val="center"/>
          </w:tcPr>
          <w:p w14:paraId="157A6514">
            <w:pPr>
              <w:spacing w:after="0" w:line="240" w:lineRule="auto"/>
              <w:jc w:val="left"/>
            </w:pPr>
            <w:r>
              <w:rPr>
                <w:rFonts w:ascii="Times New Roman" w:hAnsi="Times New Roman" w:eastAsia="宋体"/>
                <w:sz w:val="18"/>
              </w:rPr>
              <w:t>98.57</w:t>
            </w:r>
          </w:p>
        </w:tc>
        <w:tc>
          <w:tcPr>
            <w:tcW w:w="1701" w:type="dxa"/>
            <w:tcMar>
              <w:top w:w="60" w:type="dxa"/>
              <w:left w:w="80" w:type="dxa"/>
              <w:bottom w:w="60" w:type="dxa"/>
              <w:right w:w="80" w:type="dxa"/>
            </w:tcMar>
            <w:vAlign w:val="center"/>
          </w:tcPr>
          <w:p w14:paraId="75473433">
            <w:pPr>
              <w:spacing w:after="0" w:line="240" w:lineRule="auto"/>
              <w:jc w:val="left"/>
            </w:pPr>
            <w:r>
              <w:rPr>
                <w:rFonts w:ascii="Times New Roman" w:hAnsi="Times New Roman" w:eastAsia="宋体"/>
                <w:sz w:val="18"/>
              </w:rPr>
              <w:t>98.60</w:t>
            </w:r>
          </w:p>
        </w:tc>
        <w:tc>
          <w:tcPr>
            <w:tcW w:w="1701" w:type="dxa"/>
            <w:tcMar>
              <w:top w:w="60" w:type="dxa"/>
              <w:left w:w="80" w:type="dxa"/>
              <w:bottom w:w="60" w:type="dxa"/>
              <w:right w:w="80" w:type="dxa"/>
            </w:tcMar>
            <w:vAlign w:val="center"/>
          </w:tcPr>
          <w:p w14:paraId="6B0F0C83">
            <w:pPr>
              <w:spacing w:after="0" w:line="240" w:lineRule="auto"/>
              <w:jc w:val="left"/>
            </w:pPr>
            <w:r>
              <w:rPr>
                <w:rFonts w:ascii="Times New Roman" w:hAnsi="Times New Roman" w:eastAsia="宋体"/>
                <w:sz w:val="18"/>
              </w:rPr>
              <w:t>98.57</w:t>
            </w:r>
          </w:p>
        </w:tc>
        <w:tc>
          <w:tcPr>
            <w:tcW w:w="1701" w:type="dxa"/>
            <w:tcMar>
              <w:top w:w="60" w:type="dxa"/>
              <w:left w:w="80" w:type="dxa"/>
              <w:bottom w:w="60" w:type="dxa"/>
              <w:right w:w="80" w:type="dxa"/>
            </w:tcMar>
            <w:vAlign w:val="center"/>
          </w:tcPr>
          <w:p w14:paraId="426C4D1C">
            <w:pPr>
              <w:spacing w:after="0" w:line="240" w:lineRule="auto"/>
              <w:jc w:val="left"/>
            </w:pPr>
            <w:r>
              <w:rPr>
                <w:rFonts w:ascii="Times New Roman" w:hAnsi="Times New Roman" w:eastAsia="宋体"/>
                <w:sz w:val="18"/>
              </w:rPr>
              <w:t>98.58</w:t>
            </w:r>
          </w:p>
        </w:tc>
      </w:tr>
    </w:tbl>
    <w:p w14:paraId="2D1318F6">
      <w:pPr>
        <w:spacing w:after="0"/>
      </w:pPr>
    </w:p>
    <w:p w14:paraId="1434B8EC">
      <w:pPr>
        <w:pStyle w:val="164"/>
      </w:pPr>
      <w:r>
        <w:rPr>
          <w:rFonts w:ascii="Times New Roman" w:hAnsi="Times New Roman" w:eastAsia="宋体"/>
          <w:b w:val="0"/>
          <w:sz w:val="21"/>
        </w:rPr>
        <w:t>从混淆关系看，CNN对F2一级抽汽支路泄漏与F3 VHP汽封泄漏存在少量交叉误判，两类故障均可能使抽汽和排汽相关状态发生变化；AE在多个类别间出现分散误判。KG-GCN的误判更集中于少量边界样本，测试集560个窗口中总体预测更接近主对角线。该现象与其利用“一级抽汽—回热接口”和“VHP本体—排汽—一次再热接口”等结构关系进行邻域聚合的设计相一致。</w:t>
      </w:r>
    </w:p>
    <w:p w14:paraId="2E380659">
      <w:pPr>
        <w:keepNext/>
        <w:spacing w:before="80" w:after="40"/>
        <w:jc w:val="center"/>
      </w:pPr>
      <w:r>
        <w:rPr>
          <w:rFonts w:ascii="Times New Roman" w:hAnsi="Times New Roman" w:eastAsia="宋体"/>
          <w:i/>
          <w:sz w:val="18"/>
        </w:rPr>
        <w:t>【图待补：CNN、AE与KG-GCN故障诊断混淆矩阵；后续按论文格式选择并排展示或重点展示KG-GCN】</w:t>
      </w:r>
    </w:p>
    <w:p w14:paraId="1D4A3422">
      <w:pPr>
        <w:pStyle w:val="164"/>
      </w:pPr>
      <w:r>
        <w:t>为检验随机初始化对结果的影响，采用3组随机种子重复训练。KG-GCN的平均Macro-F1为98.46%±0.11%，平均值略高于CNN的98.33%±0.45%，同时标准差更小。进一步对掩码预训练进行补充分析：当分类阶段仅使用20%的带标签故障窗口时，直接训练KG-GCN的Macro-F1为94.48%±0.93%，采用掩码重构预训练后提高到96.67%±0.27%。该结果表明，掩码训练能够改善当前节点关联特征学习的稳定性，并在带标签训练窗口减少时保持较好的分类性能。</w:t>
      </w:r>
    </w:p>
    <w:p w14:paraId="06849786">
      <w:pPr>
        <w:keepNext/>
        <w:spacing w:before="80" w:after="40"/>
        <w:jc w:val="center"/>
      </w:pPr>
      <w:r>
        <w:rPr>
          <w:rFonts w:ascii="Times New Roman" w:hAnsi="Times New Roman" w:eastAsia="黑体"/>
          <w:b/>
          <w:sz w:val="18"/>
        </w:rPr>
        <w:t>表10  重复实验与掩码预训练补充结果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2835"/>
      </w:tblGrid>
      <w:tr w14:paraId="6DC5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6E6"/>
            <w:tcMar>
              <w:top w:w="60" w:type="dxa"/>
              <w:left w:w="80" w:type="dxa"/>
              <w:bottom w:w="60" w:type="dxa"/>
              <w:right w:w="80" w:type="dxa"/>
            </w:tcMar>
            <w:vAlign w:val="center"/>
          </w:tcPr>
          <w:p w14:paraId="2DF7DBE9">
            <w:pPr>
              <w:spacing w:after="0" w:line="240" w:lineRule="auto"/>
              <w:jc w:val="center"/>
            </w:pPr>
            <w:r>
              <w:rPr>
                <w:rFonts w:ascii="Times New Roman" w:hAnsi="Times New Roman" w:eastAsia="黑体"/>
                <w:b/>
                <w:sz w:val="18"/>
              </w:rPr>
              <w:t>实验</w:t>
            </w:r>
          </w:p>
        </w:tc>
        <w:tc>
          <w:tcPr>
            <w:tcW w:w="3402" w:type="dxa"/>
            <w:shd w:val="clear" w:color="auto" w:fill="E7E6E6"/>
            <w:tcMar>
              <w:top w:w="60" w:type="dxa"/>
              <w:left w:w="80" w:type="dxa"/>
              <w:bottom w:w="60" w:type="dxa"/>
              <w:right w:w="80" w:type="dxa"/>
            </w:tcMar>
            <w:vAlign w:val="center"/>
          </w:tcPr>
          <w:p w14:paraId="22EF4E1C">
            <w:pPr>
              <w:spacing w:after="0" w:line="240" w:lineRule="auto"/>
              <w:jc w:val="center"/>
            </w:pPr>
            <w:r>
              <w:rPr>
                <w:rFonts w:ascii="Times New Roman" w:hAnsi="Times New Roman" w:eastAsia="黑体"/>
                <w:b/>
                <w:sz w:val="18"/>
              </w:rPr>
              <w:t>模型/策略</w:t>
            </w:r>
          </w:p>
        </w:tc>
        <w:tc>
          <w:tcPr>
            <w:tcW w:w="2835" w:type="dxa"/>
            <w:shd w:val="clear" w:color="auto" w:fill="E7E6E6"/>
            <w:tcMar>
              <w:top w:w="60" w:type="dxa"/>
              <w:left w:w="80" w:type="dxa"/>
              <w:bottom w:w="60" w:type="dxa"/>
              <w:right w:w="80" w:type="dxa"/>
            </w:tcMar>
            <w:vAlign w:val="center"/>
          </w:tcPr>
          <w:p w14:paraId="6FEA688D">
            <w:pPr>
              <w:spacing w:after="0" w:line="240" w:lineRule="auto"/>
              <w:jc w:val="center"/>
            </w:pPr>
            <w:r>
              <w:rPr>
                <w:rFonts w:ascii="Times New Roman" w:hAnsi="Times New Roman" w:eastAsia="黑体"/>
                <w:b/>
                <w:sz w:val="18"/>
              </w:rPr>
              <w:t>Macro-F1/%</w:t>
            </w:r>
          </w:p>
        </w:tc>
      </w:tr>
      <w:tr w14:paraId="2446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75BEDF53">
            <w:pPr>
              <w:spacing w:after="0" w:line="240" w:lineRule="auto"/>
              <w:jc w:val="center"/>
            </w:pPr>
            <w:r>
              <w:rPr>
                <w:rFonts w:ascii="Times New Roman" w:hAnsi="Times New Roman" w:eastAsia="宋体"/>
                <w:sz w:val="18"/>
              </w:rPr>
              <w:t>3组随机种子</w:t>
            </w:r>
          </w:p>
        </w:tc>
        <w:tc>
          <w:tcPr>
            <w:tcW w:w="3402" w:type="dxa"/>
            <w:tcMar>
              <w:top w:w="60" w:type="dxa"/>
              <w:left w:w="80" w:type="dxa"/>
              <w:bottom w:w="60" w:type="dxa"/>
              <w:right w:w="80" w:type="dxa"/>
            </w:tcMar>
            <w:vAlign w:val="center"/>
          </w:tcPr>
          <w:p w14:paraId="41AD0632">
            <w:pPr>
              <w:spacing w:after="0" w:line="240" w:lineRule="auto"/>
              <w:jc w:val="left"/>
            </w:pPr>
            <w:r>
              <w:rPr>
                <w:rFonts w:ascii="Times New Roman" w:hAnsi="Times New Roman" w:eastAsia="宋体"/>
                <w:sz w:val="18"/>
              </w:rPr>
              <w:t>CNN</w:t>
            </w:r>
          </w:p>
        </w:tc>
        <w:tc>
          <w:tcPr>
            <w:tcW w:w="2835" w:type="dxa"/>
            <w:tcMar>
              <w:top w:w="60" w:type="dxa"/>
              <w:left w:w="80" w:type="dxa"/>
              <w:bottom w:w="60" w:type="dxa"/>
              <w:right w:w="80" w:type="dxa"/>
            </w:tcMar>
            <w:vAlign w:val="center"/>
          </w:tcPr>
          <w:p w14:paraId="31C0D860">
            <w:pPr>
              <w:spacing w:after="0" w:line="240" w:lineRule="auto"/>
              <w:jc w:val="left"/>
            </w:pPr>
            <w:r>
              <w:rPr>
                <w:rFonts w:ascii="Times New Roman" w:hAnsi="Times New Roman" w:eastAsia="宋体"/>
                <w:sz w:val="18"/>
              </w:rPr>
              <w:t>98.33±0.45</w:t>
            </w:r>
          </w:p>
        </w:tc>
      </w:tr>
      <w:tr w14:paraId="08B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1D8C7746">
            <w:pPr>
              <w:spacing w:after="0" w:line="240" w:lineRule="auto"/>
              <w:jc w:val="center"/>
            </w:pPr>
            <w:r>
              <w:rPr>
                <w:rFonts w:ascii="Times New Roman" w:hAnsi="Times New Roman" w:eastAsia="宋体"/>
                <w:sz w:val="18"/>
              </w:rPr>
              <w:t>3组随机种子</w:t>
            </w:r>
          </w:p>
        </w:tc>
        <w:tc>
          <w:tcPr>
            <w:tcW w:w="3402" w:type="dxa"/>
            <w:tcMar>
              <w:top w:w="60" w:type="dxa"/>
              <w:left w:w="80" w:type="dxa"/>
              <w:bottom w:w="60" w:type="dxa"/>
              <w:right w:w="80" w:type="dxa"/>
            </w:tcMar>
            <w:vAlign w:val="center"/>
          </w:tcPr>
          <w:p w14:paraId="41DD3A4D">
            <w:pPr>
              <w:spacing w:after="0" w:line="240" w:lineRule="auto"/>
              <w:jc w:val="left"/>
            </w:pPr>
            <w:r>
              <w:rPr>
                <w:rFonts w:ascii="Times New Roman" w:hAnsi="Times New Roman" w:eastAsia="宋体"/>
                <w:sz w:val="18"/>
              </w:rPr>
              <w:t>AE</w:t>
            </w:r>
          </w:p>
        </w:tc>
        <w:tc>
          <w:tcPr>
            <w:tcW w:w="2835" w:type="dxa"/>
            <w:tcMar>
              <w:top w:w="60" w:type="dxa"/>
              <w:left w:w="80" w:type="dxa"/>
              <w:bottom w:w="60" w:type="dxa"/>
              <w:right w:w="80" w:type="dxa"/>
            </w:tcMar>
            <w:vAlign w:val="center"/>
          </w:tcPr>
          <w:p w14:paraId="7D8770FB">
            <w:pPr>
              <w:spacing w:after="0" w:line="240" w:lineRule="auto"/>
              <w:jc w:val="left"/>
            </w:pPr>
            <w:r>
              <w:rPr>
                <w:rFonts w:ascii="Times New Roman" w:hAnsi="Times New Roman" w:eastAsia="宋体"/>
                <w:sz w:val="18"/>
              </w:rPr>
              <w:t>96.43±0.82</w:t>
            </w:r>
          </w:p>
        </w:tc>
      </w:tr>
      <w:tr w14:paraId="6879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6DE16F17">
            <w:pPr>
              <w:spacing w:after="0" w:line="240" w:lineRule="auto"/>
              <w:jc w:val="center"/>
            </w:pPr>
            <w:r>
              <w:rPr>
                <w:rFonts w:ascii="Times New Roman" w:hAnsi="Times New Roman" w:eastAsia="宋体"/>
                <w:sz w:val="18"/>
              </w:rPr>
              <w:t>3组随机种子</w:t>
            </w:r>
          </w:p>
        </w:tc>
        <w:tc>
          <w:tcPr>
            <w:tcW w:w="3402" w:type="dxa"/>
            <w:tcMar>
              <w:top w:w="60" w:type="dxa"/>
              <w:left w:w="80" w:type="dxa"/>
              <w:bottom w:w="60" w:type="dxa"/>
              <w:right w:w="80" w:type="dxa"/>
            </w:tcMar>
            <w:vAlign w:val="center"/>
          </w:tcPr>
          <w:p w14:paraId="12E1903F">
            <w:pPr>
              <w:spacing w:after="0" w:line="240" w:lineRule="auto"/>
              <w:jc w:val="left"/>
            </w:pPr>
            <w:r>
              <w:rPr>
                <w:rFonts w:ascii="Times New Roman" w:hAnsi="Times New Roman" w:eastAsia="宋体"/>
                <w:sz w:val="18"/>
              </w:rPr>
              <w:t>KG-GCN</w:t>
            </w:r>
          </w:p>
        </w:tc>
        <w:tc>
          <w:tcPr>
            <w:tcW w:w="2835" w:type="dxa"/>
            <w:tcMar>
              <w:top w:w="60" w:type="dxa"/>
              <w:left w:w="80" w:type="dxa"/>
              <w:bottom w:w="60" w:type="dxa"/>
              <w:right w:w="80" w:type="dxa"/>
            </w:tcMar>
            <w:vAlign w:val="center"/>
          </w:tcPr>
          <w:p w14:paraId="3D7D06A5">
            <w:pPr>
              <w:spacing w:after="0" w:line="240" w:lineRule="auto"/>
              <w:jc w:val="left"/>
            </w:pPr>
            <w:r>
              <w:rPr>
                <w:rFonts w:ascii="Times New Roman" w:hAnsi="Times New Roman" w:eastAsia="宋体"/>
                <w:sz w:val="18"/>
              </w:rPr>
              <w:t>98.46±0.11</w:t>
            </w:r>
          </w:p>
        </w:tc>
      </w:tr>
      <w:tr w14:paraId="4A7E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4F8149E2">
            <w:pPr>
              <w:spacing w:after="0" w:line="240" w:lineRule="auto"/>
              <w:jc w:val="center"/>
            </w:pPr>
            <w:r>
              <w:rPr>
                <w:rFonts w:ascii="Times New Roman" w:hAnsi="Times New Roman" w:eastAsia="宋体"/>
                <w:sz w:val="18"/>
              </w:rPr>
              <w:t>20%标签补充实验</w:t>
            </w:r>
          </w:p>
        </w:tc>
        <w:tc>
          <w:tcPr>
            <w:tcW w:w="3402" w:type="dxa"/>
            <w:tcMar>
              <w:top w:w="60" w:type="dxa"/>
              <w:left w:w="80" w:type="dxa"/>
              <w:bottom w:w="60" w:type="dxa"/>
              <w:right w:w="80" w:type="dxa"/>
            </w:tcMar>
            <w:vAlign w:val="center"/>
          </w:tcPr>
          <w:p w14:paraId="090FA411">
            <w:pPr>
              <w:spacing w:after="0" w:line="240" w:lineRule="auto"/>
              <w:jc w:val="left"/>
            </w:pPr>
            <w:r>
              <w:rPr>
                <w:rFonts w:ascii="Times New Roman" w:hAnsi="Times New Roman" w:eastAsia="宋体"/>
                <w:sz w:val="18"/>
              </w:rPr>
              <w:t>KG-GCN Scratch</w:t>
            </w:r>
          </w:p>
        </w:tc>
        <w:tc>
          <w:tcPr>
            <w:tcW w:w="2835" w:type="dxa"/>
            <w:tcMar>
              <w:top w:w="60" w:type="dxa"/>
              <w:left w:w="80" w:type="dxa"/>
              <w:bottom w:w="60" w:type="dxa"/>
              <w:right w:w="80" w:type="dxa"/>
            </w:tcMar>
            <w:vAlign w:val="center"/>
          </w:tcPr>
          <w:p w14:paraId="69BE4253">
            <w:pPr>
              <w:spacing w:after="0" w:line="240" w:lineRule="auto"/>
              <w:jc w:val="left"/>
            </w:pPr>
            <w:r>
              <w:rPr>
                <w:rFonts w:ascii="Times New Roman" w:hAnsi="Times New Roman" w:eastAsia="宋体"/>
                <w:sz w:val="18"/>
              </w:rPr>
              <w:t>94.48±0.93</w:t>
            </w:r>
          </w:p>
        </w:tc>
      </w:tr>
      <w:tr w14:paraId="7206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779E3ECA">
            <w:pPr>
              <w:spacing w:after="0" w:line="240" w:lineRule="auto"/>
              <w:jc w:val="center"/>
            </w:pPr>
            <w:r>
              <w:rPr>
                <w:rFonts w:ascii="Times New Roman" w:hAnsi="Times New Roman" w:eastAsia="宋体"/>
                <w:sz w:val="18"/>
              </w:rPr>
              <w:t>20%标签补充实验</w:t>
            </w:r>
          </w:p>
        </w:tc>
        <w:tc>
          <w:tcPr>
            <w:tcW w:w="3402" w:type="dxa"/>
            <w:tcMar>
              <w:top w:w="60" w:type="dxa"/>
              <w:left w:w="80" w:type="dxa"/>
              <w:bottom w:w="60" w:type="dxa"/>
              <w:right w:w="80" w:type="dxa"/>
            </w:tcMar>
            <w:vAlign w:val="center"/>
          </w:tcPr>
          <w:p w14:paraId="7443F7F3">
            <w:pPr>
              <w:spacing w:after="0" w:line="240" w:lineRule="auto"/>
              <w:jc w:val="left"/>
            </w:pPr>
            <w:r>
              <w:rPr>
                <w:rFonts w:ascii="Times New Roman" w:hAnsi="Times New Roman" w:eastAsia="宋体"/>
                <w:sz w:val="18"/>
              </w:rPr>
              <w:t>KG-GCN + Mask预训练</w:t>
            </w:r>
          </w:p>
        </w:tc>
        <w:tc>
          <w:tcPr>
            <w:tcW w:w="2835" w:type="dxa"/>
            <w:tcMar>
              <w:top w:w="60" w:type="dxa"/>
              <w:left w:w="80" w:type="dxa"/>
              <w:bottom w:w="60" w:type="dxa"/>
              <w:right w:w="80" w:type="dxa"/>
            </w:tcMar>
            <w:vAlign w:val="center"/>
          </w:tcPr>
          <w:p w14:paraId="4C0FCBE5">
            <w:pPr>
              <w:spacing w:after="0" w:line="240" w:lineRule="auto"/>
              <w:jc w:val="left"/>
            </w:pPr>
            <w:r>
              <w:rPr>
                <w:rFonts w:ascii="Times New Roman" w:hAnsi="Times New Roman" w:eastAsia="宋体"/>
                <w:sz w:val="18"/>
              </w:rPr>
              <w:t>96.67±0.27</w:t>
            </w:r>
          </w:p>
        </w:tc>
      </w:tr>
    </w:tbl>
    <w:p w14:paraId="0C70F01F">
      <w:pPr>
        <w:spacing w:after="0"/>
      </w:pPr>
    </w:p>
    <w:p w14:paraId="70115B7D">
      <w:pPr>
        <w:pStyle w:val="164"/>
      </w:pPr>
      <w:r>
        <w:rPr>
          <w:rFonts w:ascii="Times New Roman" w:hAnsi="Times New Roman" w:eastAsia="宋体"/>
          <w:b w:val="0"/>
          <w:sz w:val="21"/>
        </w:rPr>
        <w:t>总体上，当前算例说明：前置GRU状态模型能够为不同运行边界下的设备状态提供统一参考；知识图谱将设备、参数和故障关系组织为可计算的任务参数拓扑；GCN进一步在该拓扑上聚合多参数偏差，使模型同时利用“参数变化”和“参数所在结构位置”两类信息。由于F1-F3为真实运行背景上的机理构造场景，现阶段结论主要用于证明所提方法链的可行性和分类性能，后续仍需利用现场缺陷记录、检修记录和真实故障事件进行扩展验证。</w:t>
      </w:r>
    </w:p>
    <w:p w14:paraId="30DA3144">
      <w:pPr>
        <w:pStyle w:val="165"/>
      </w:pPr>
      <w:r>
        <w:rPr>
          <w:rFonts w:ascii="Times New Roman" w:hAnsi="Times New Roman" w:eastAsia="黑体"/>
          <w:b/>
          <w:sz w:val="24"/>
        </w:rPr>
        <w:t>5 结论</w:t>
      </w:r>
    </w:p>
    <w:p w14:paraId="27D18B23">
      <w:pPr>
        <w:pStyle w:val="164"/>
      </w:pPr>
      <w:r>
        <w:rPr>
          <w:rFonts w:ascii="Times New Roman" w:hAnsi="Times New Roman" w:eastAsia="宋体"/>
          <w:b w:val="0"/>
          <w:sz w:val="21"/>
        </w:rPr>
        <w:t>本文面向燃煤机组汽轮机系统故障诊断，构建了由设备状态监测和KG-GCN组成的两阶段方法。主要结论如下：</w:t>
      </w:r>
    </w:p>
    <w:p w14:paraId="6C164CD1">
      <w:pPr>
        <w:pStyle w:val="164"/>
      </w:pPr>
      <w:r>
        <w:rPr>
          <w:rFonts w:ascii="Times New Roman" w:hAnsi="Times New Roman" w:eastAsia="宋体"/>
          <w:b w:val="0"/>
          <w:sz w:val="21"/>
        </w:rPr>
        <w:t>（1）从汽轮机本体、回热、给水/驱动小机及冷端系统的实际介质联系出发，建立统一的设备级U+B→Y状态监测建模方式。以VHP为代表的DCS数据验证中，GRU在24个状态参数上的宏平均R²达到0.9511，并在本体压力、主排汽温度和一级抽汽接口等代表状态上保持较好的跟踪能力，可为后续诊断提供状态参考。</w:t>
      </w:r>
    </w:p>
    <w:p w14:paraId="56B72819">
      <w:pPr>
        <w:pStyle w:val="164"/>
      </w:pPr>
      <w:r>
        <w:rPr>
          <w:rFonts w:ascii="Times New Roman" w:hAnsi="Times New Roman" w:eastAsia="宋体"/>
          <w:b w:val="0"/>
          <w:sz w:val="21"/>
        </w:rPr>
        <w:t>（2）综合DCS点表、设备输入输出关系、系统边界以及论文和运行技术资料构建汽轮机故障知识图谱，形成127个标准实体和123条候选关系，其中121条进入主知识图谱。通过标准参数实体与DCS测点映射，将实测值与GRU预测值之间的偏差组织为参数节点时间窗口，并以知识图谱投影得到的参数邻接作为GCN结构输入，实现运行数据与系统知识的融合。</w:t>
      </w:r>
    </w:p>
    <w:p w14:paraId="133BA6AC">
      <w:pPr>
        <w:pStyle w:val="164"/>
      </w:pPr>
      <w:r>
        <w:rPr>
          <w:rFonts w:ascii="Times New Roman" w:hAnsi="Times New Roman" w:eastAsia="宋体"/>
          <w:b w:val="0"/>
          <w:sz w:val="21"/>
        </w:rPr>
        <w:t>（3）在VHP代表性故障诊断算例中，KG-GCN的Accuracy和Macro-F1分别为98.57%和98.58%，高于CNN和AE；3组随机种子下平均Macro-F1为98.46%±0.11%。掩码重构预训练在20%标签补充实验中将Macro-F1由94.48%±0.93%提高到96.67%±0.27%，说明该训练方式有助于稳定知识拓扑约束下的节点特征学习。后续将结合现场真实故障事件和更多回热、给水及冷端对象，进一步验证系统级诊断能力。</w:t>
      </w:r>
    </w:p>
    <w:p w14:paraId="3A2D89CA">
      <w:pPr>
        <w:pStyle w:val="165"/>
      </w:pPr>
      <w:r>
        <w:rPr>
          <w:rFonts w:ascii="Times New Roman" w:hAnsi="Times New Roman" w:eastAsia="黑体"/>
          <w:b/>
          <w:sz w:val="24"/>
        </w:rPr>
        <w:t>参考文献</w:t>
      </w:r>
    </w:p>
    <w:p w14:paraId="5EA91CAF">
      <w:pPr>
        <w:spacing w:after="20" w:line="252" w:lineRule="auto"/>
        <w:ind w:left="312" w:hanging="312"/>
      </w:pPr>
      <w:r>
        <w:rPr>
          <w:rFonts w:ascii="Times New Roman" w:hAnsi="Times New Roman" w:eastAsia="宋体"/>
          <w:sz w:val="16"/>
        </w:rPr>
        <w:t>[1] 国家发展改革委, 国家能源局. 新一代煤电升级专项行动实施方案（2025—2027年）[Z]. 发改能源〔2025〕363号, 2025.</w:t>
      </w:r>
    </w:p>
    <w:p w14:paraId="472E9969">
      <w:pPr>
        <w:spacing w:after="20" w:line="252" w:lineRule="auto"/>
        <w:ind w:left="312" w:hanging="312"/>
      </w:pPr>
      <w:r>
        <w:rPr>
          <w:rFonts w:ascii="Times New Roman" w:hAnsi="Times New Roman" w:eastAsia="宋体"/>
          <w:sz w:val="16"/>
        </w:rPr>
        <w:t>[2] 李萍. 大型凝汽式汽轮机系统设备建模与运行初压优化[D]. 南京: 东南大学, 2018.</w:t>
      </w:r>
    </w:p>
    <w:p w14:paraId="2076D9A8">
      <w:pPr>
        <w:spacing w:after="20" w:line="252" w:lineRule="auto"/>
        <w:ind w:left="312" w:hanging="312"/>
      </w:pPr>
      <w:r>
        <w:rPr>
          <w:rFonts w:ascii="Times New Roman" w:hAnsi="Times New Roman" w:eastAsia="宋体"/>
          <w:sz w:val="16"/>
        </w:rPr>
        <w:t>[3] JIANG X, LIU P, LI Z. Data reconciliation for steam turbine on-line performance monitoring[J]. Applied Thermal Engineering, 2014, 70(1): 122-130. DOI:10.1016/j.applthermaleng.2014.05.007.</w:t>
      </w:r>
    </w:p>
    <w:p w14:paraId="7E0F81CE">
      <w:pPr>
        <w:spacing w:after="20" w:line="252" w:lineRule="auto"/>
        <w:ind w:left="312" w:hanging="312"/>
      </w:pPr>
      <w:r>
        <w:rPr>
          <w:rFonts w:ascii="Times New Roman" w:hAnsi="Times New Roman" w:eastAsia="宋体"/>
          <w:sz w:val="16"/>
        </w:rPr>
        <w:t>[4] DETTORI S, COLLA V, SALERNO G, et al. Steam Turbine Models for Monitoring Purposes[J]. Energy Procedia, 2017, 105: 524-529. DOI:10.1016/j.egypro.2017.03.351.</w:t>
      </w:r>
    </w:p>
    <w:p w14:paraId="798EB277">
      <w:pPr>
        <w:spacing w:after="20" w:line="252" w:lineRule="auto"/>
        <w:ind w:left="312" w:hanging="312"/>
      </w:pPr>
      <w:r>
        <w:rPr>
          <w:rFonts w:ascii="Times New Roman" w:hAnsi="Times New Roman" w:eastAsia="宋体"/>
          <w:sz w:val="16"/>
        </w:rPr>
        <w:t>[5] LI X, LIU J, BAI M, et al. An LSTM based method for stage performance degradation early warning with consideration of time-series information[J]. Energy, 2021, 226: 120398. DOI:10.1016/j.energy.2021.120398.</w:t>
      </w:r>
    </w:p>
    <w:p w14:paraId="524CD2D1">
      <w:pPr>
        <w:spacing w:after="20" w:line="252" w:lineRule="auto"/>
        <w:ind w:left="312" w:hanging="312"/>
      </w:pPr>
      <w:r>
        <w:rPr>
          <w:rFonts w:ascii="Times New Roman" w:hAnsi="Times New Roman" w:eastAsia="宋体"/>
          <w:sz w:val="16"/>
        </w:rPr>
        <w:t>[6] KO J U, NA K, OH J S, et al. A new auto-encoder-based dynamic threshold to reduce false alarm rate for anomaly detection of steam turbines[J]. Expert Systems with Applications, 2022, 189: 116094. DOI:10.1016/j.eswa.2021.116094.</w:t>
      </w:r>
    </w:p>
    <w:p w14:paraId="7838A25E">
      <w:pPr>
        <w:spacing w:after="20" w:line="252" w:lineRule="auto"/>
        <w:ind w:left="312" w:hanging="312"/>
      </w:pPr>
      <w:r>
        <w:rPr>
          <w:rFonts w:ascii="Times New Roman" w:hAnsi="Times New Roman" w:eastAsia="宋体"/>
          <w:sz w:val="16"/>
        </w:rPr>
        <w:t>[7] SALAHSHOOR K, KORDESTANI M, KHOSHRO M S. Fault detection and diagnosis of an industrial steam turbine using fusion of SVM and ANFIS classifiers[J]. Energy, 2010, 35(12): 5472-5482. DOI:10.1016/j.energy.2010.06.001.</w:t>
      </w:r>
    </w:p>
    <w:p w14:paraId="28EA92F1">
      <w:pPr>
        <w:spacing w:after="20" w:line="252" w:lineRule="auto"/>
        <w:ind w:left="312" w:hanging="312"/>
      </w:pPr>
      <w:r>
        <w:rPr>
          <w:rFonts w:ascii="Times New Roman" w:hAnsi="Times New Roman" w:eastAsia="宋体"/>
          <w:sz w:val="16"/>
        </w:rPr>
        <w:t>[8] ZHANG Y J, HU L S. Fault Propagation Inference Based on a Graph Neural Network for Steam Turbine Systems[J]. Energies, 2021, 14(2): 309. DOI:10.3390/en14020309.</w:t>
      </w:r>
    </w:p>
    <w:p w14:paraId="275DB953">
      <w:pPr>
        <w:spacing w:after="20" w:line="252" w:lineRule="auto"/>
        <w:ind w:left="312" w:hanging="312"/>
      </w:pPr>
      <w:r>
        <w:rPr>
          <w:rFonts w:ascii="Times New Roman" w:hAnsi="Times New Roman" w:eastAsia="宋体"/>
          <w:sz w:val="16"/>
        </w:rPr>
        <w:t>[9] JIA M, HU J, LIU Y, et al. Topology-Guided Graph Learning for Process Fault Diagnosis[J]. Industrial &amp; Engineering Chemistry Research, 2023, 62(7): 3238-3248. DOI:10.1021/acs.iecr.2c03628.</w:t>
      </w:r>
    </w:p>
    <w:p w14:paraId="5A71BA03">
      <w:pPr>
        <w:spacing w:after="20" w:line="252" w:lineRule="auto"/>
        <w:ind w:left="312" w:hanging="312"/>
      </w:pPr>
      <w:r>
        <w:rPr>
          <w:rFonts w:ascii="Times New Roman" w:hAnsi="Times New Roman" w:eastAsia="宋体"/>
          <w:sz w:val="16"/>
        </w:rPr>
        <w:t>[10] HAN Y, LI Q, WANG C, et al. A novel knowledge enhanced graph neural networks for fault diagnosis with application to blast furnace process safety[J]. Process Safety and Environmental Protection, 2022, 166: 143-157. DOI:10.1016/j.psep.2022.08.014.</w:t>
      </w:r>
    </w:p>
    <w:p w14:paraId="0D45E37C">
      <w:pPr>
        <w:spacing w:after="20" w:line="252" w:lineRule="auto"/>
        <w:ind w:left="312" w:hanging="312"/>
      </w:pPr>
      <w:r>
        <w:rPr>
          <w:rFonts w:ascii="Times New Roman" w:hAnsi="Times New Roman" w:eastAsia="宋体"/>
          <w:sz w:val="16"/>
        </w:rPr>
        <w:t>[11] ZHANG C, HU D, YANG T. Anomaly detection and diagnosis for wind turbines using long short-term memory-based stacked denoising autoencoders and XGBoost[J]. Reliability Engineering &amp; System Safety, 2022, 222: 108445. DOI:10.1016/j.ress.2022.108445.</w:t>
      </w:r>
    </w:p>
    <w:p w14:paraId="7AF72167">
      <w:pPr>
        <w:spacing w:after="20" w:line="252" w:lineRule="auto"/>
        <w:ind w:left="312" w:hanging="312"/>
      </w:pPr>
      <w:r>
        <w:rPr>
          <w:rFonts w:ascii="Times New Roman" w:hAnsi="Times New Roman" w:eastAsia="宋体"/>
          <w:sz w:val="16"/>
        </w:rPr>
        <w:t>[12] HOGAN A, BLOMQVIST E, COCHEZ M, et al. Knowledge Graphs[J]. ACM Computing Surveys, 2021, 54(4): Article 71. DOI:10.1145/3447772.</w:t>
      </w:r>
    </w:p>
    <w:p w14:paraId="63B83987">
      <w:pPr>
        <w:spacing w:after="20" w:line="252" w:lineRule="auto"/>
        <w:ind w:left="312" w:hanging="312"/>
      </w:pPr>
      <w:r>
        <w:rPr>
          <w:rFonts w:ascii="Times New Roman" w:hAnsi="Times New Roman" w:eastAsia="宋体"/>
          <w:sz w:val="16"/>
        </w:rPr>
        <w:t>[13] CHO K, VAN MERRIËNBOER B, GULCEHRE C, et al. Learning Phrase Representations using RNN Encoder-Decoder for Statistical Machine Translation[C]//Proceedings of EMNLP 2014. Doha: Association for Computational Linguistics, 2014: 1724-1734. DOI:10.3115/v1/D14-1179.</w:t>
      </w:r>
    </w:p>
    <w:p w14:paraId="69E0E5F4">
      <w:pPr>
        <w:spacing w:after="20" w:line="252" w:lineRule="auto"/>
        <w:ind w:left="312" w:hanging="312"/>
      </w:pPr>
      <w:r>
        <w:rPr>
          <w:rFonts w:ascii="Times New Roman" w:hAnsi="Times New Roman" w:eastAsia="宋体"/>
          <w:sz w:val="16"/>
        </w:rPr>
        <w:t>[14] BAI S, KOLTER J Z, KOLTUN V. An Empirical Evaluation of Generic Convolutional and Recurrent Networks for Sequence Modeling[EB/OL]. arXiv:1803.01271, 2018. DOI:10.48550/arXiv.1803.01271.</w:t>
      </w:r>
    </w:p>
    <w:p w14:paraId="5FEA50C2">
      <w:pPr>
        <w:spacing w:after="20" w:line="252" w:lineRule="auto"/>
        <w:ind w:left="312" w:hanging="312"/>
      </w:pPr>
      <w:r>
        <w:rPr>
          <w:rFonts w:ascii="Times New Roman" w:hAnsi="Times New Roman" w:eastAsia="宋体"/>
          <w:sz w:val="16"/>
        </w:rPr>
        <w:t>[15] LIU Y, HU T, ZHANG H, et al. iTransformer: Inverted Transformers Are Effective for Time Series Forecasting[C]//International Conference on Learning Representations (ICLR). 2024.</w:t>
      </w:r>
    </w:p>
    <w:p w14:paraId="3B81CE18">
      <w:pPr>
        <w:spacing w:after="20" w:line="252" w:lineRule="auto"/>
        <w:ind w:left="312" w:hanging="312"/>
      </w:pPr>
      <w:r>
        <w:rPr>
          <w:rFonts w:ascii="Times New Roman" w:hAnsi="Times New Roman" w:eastAsia="宋体"/>
          <w:sz w:val="16"/>
        </w:rPr>
        <w:t>[16] KIPF T N, WELLING M. Semi-Supervised Classification with Graph Convolutional Networks[C]//International Conference on Learning Representations (ICLR). 2017.</w:t>
      </w:r>
    </w:p>
    <w:p w14:paraId="57D6497D">
      <w:pPr>
        <w:spacing w:after="20" w:line="252" w:lineRule="auto"/>
        <w:ind w:left="312" w:hanging="312"/>
      </w:pPr>
      <w:r>
        <w:rPr>
          <w:rFonts w:ascii="Times New Roman" w:hAnsi="Times New Roman" w:eastAsia="宋体"/>
          <w:sz w:val="16"/>
        </w:rPr>
        <w:t>[17] REIMERS N, GUREVYCH I. Sentence-BERT: Sentence Embeddings using Siamese BERT-Networks[C]//Proceedings of EMNLP-IJCNLP 2019. Hong Kong: Association for Computational Linguistics, 2019: 3982-3992. DOI:10.18653/v1/D19-1410.</w:t>
      </w:r>
    </w:p>
    <w:p w14:paraId="037EADA6">
      <w:pPr>
        <w:spacing w:after="20" w:line="252" w:lineRule="auto"/>
        <w:ind w:left="312" w:hanging="312"/>
      </w:pPr>
      <w:r>
        <w:rPr>
          <w:rFonts w:ascii="Times New Roman" w:hAnsi="Times New Roman" w:eastAsia="宋体"/>
          <w:sz w:val="16"/>
        </w:rPr>
        <w:t>[18] KUBIAK J A, URQUIZA-BELTRÁN G. Simulation of the effect of scale deposition on a geothermal turbine[J]. Geothermics, 2002, 31(5): 545-562. DOI:10.1016/S0375-6505(02)00013-5.</w:t>
      </w:r>
    </w:p>
    <w:p w14:paraId="590BAB5F">
      <w:pPr>
        <w:spacing w:after="20" w:line="252" w:lineRule="auto"/>
        <w:ind w:left="312" w:hanging="312"/>
      </w:pPr>
      <w:r>
        <w:rPr>
          <w:rFonts w:ascii="Times New Roman" w:hAnsi="Times New Roman" w:eastAsia="宋体"/>
          <w:sz w:val="16"/>
        </w:rPr>
        <w:t>[19] XU J, LI G, LI L, ZHOU K, SHI Y. Thermodynamic model of HP-IP leakage and IP turbine efficiency[J]. Applied Thermal Engineering, 2011, 31(2-3): 311-318. DOI:10.1016/j.applthermaleng.2010.09.011.</w:t>
      </w:r>
    </w:p>
    <w:p w14:paraId="1FC8D5C1">
      <w:pPr>
        <w:spacing w:after="20" w:line="252" w:lineRule="auto"/>
        <w:ind w:left="312" w:hanging="312"/>
      </w:pPr>
      <w:r>
        <w:rPr>
          <w:rFonts w:ascii="Times New Roman" w:hAnsi="Times New Roman" w:eastAsia="宋体"/>
          <w:sz w:val="16"/>
        </w:rPr>
        <w:t>[20] LI J, ZHAI Z, WANG J, HUANG S. On-line fouling monitoring model of condenser in coal-fired power plants[J]. Applied Thermal Engineering, 2016, 104: 628-635. DOI:10.1016/j.applthermaleng.2016.04.131.</w:t>
      </w:r>
    </w:p>
    <w:p w14:paraId="4FE272B0">
      <w:pPr>
        <w:spacing w:after="20" w:line="252" w:lineRule="auto"/>
        <w:ind w:left="312" w:hanging="312"/>
      </w:pPr>
      <w:r>
        <w:rPr>
          <w:rFonts w:ascii="Times New Roman" w:hAnsi="Times New Roman" w:eastAsia="宋体"/>
          <w:sz w:val="16"/>
        </w:rPr>
        <w:t>[21] HEO G, LEE S K. Internal leakage detection for feedwater heaters in power plants using neural networks[J]. Expert Systems with Applications, 2012, 39(5): 5078-5086. DOI:10.1016/j.eswa.2011.11.031.</w:t>
      </w:r>
    </w:p>
    <w:p w14:paraId="2C0560CE">
      <w:pPr>
        <w:spacing w:after="20" w:line="252" w:lineRule="auto"/>
        <w:ind w:left="312" w:hanging="312"/>
      </w:pPr>
      <w:r>
        <w:rPr>
          <w:rFonts w:ascii="Times New Roman" w:hAnsi="Times New Roman" w:eastAsia="宋体"/>
          <w:sz w:val="16"/>
        </w:rPr>
        <w:t>[22] BARSZCZ T, CZOP P. A feedwater heater model intended for model-based diagnostics of power plant installations[J]. Applied Thermal Engineering, 2011, 31(8-9): 1357-1367. DOI:10.1016/j.applthermaleng.2010.12.012.</w:t>
      </w:r>
    </w:p>
    <w:p w14:paraId="6F415A2C">
      <w:pPr>
        <w:spacing w:after="20" w:line="252" w:lineRule="auto"/>
        <w:ind w:left="312" w:hanging="312"/>
      </w:pPr>
      <w:r>
        <w:rPr>
          <w:rFonts w:ascii="Times New Roman" w:hAnsi="Times New Roman" w:eastAsia="宋体"/>
          <w:sz w:val="16"/>
        </w:rPr>
        <w:t>[23] 杨昊东. 660MW超临界CFB锅炉主辅机系统状态监测及诊断方法研究与应用[D]. 南京: 东南大学, 2026.</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S Mincho">
    <w:altName w:val="FFont-Family"/>
    <w:panose1 w:val="00000000000000000000"/>
    <w:charset w:val="00"/>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A10E11"/>
    <w:rsid w:val="2EB076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ody"/>
    <w:qFormat/>
    <w:uiPriority w:val="0"/>
    <w:pPr>
      <w:spacing w:after="40" w:line="288" w:lineRule="auto"/>
      <w:ind w:firstLine="420"/>
    </w:pPr>
    <w:rPr>
      <w:rFonts w:ascii="Times New Roman" w:hAnsi="Times New Roman" w:eastAsia="宋体" w:cstheme="minorBidi"/>
      <w:sz w:val="21"/>
      <w:szCs w:val="22"/>
      <w:lang w:val="en-US" w:eastAsia="en-US" w:bidi="ar-SA"/>
    </w:rPr>
  </w:style>
  <w:style w:type="paragraph" w:customStyle="1" w:styleId="165">
    <w:name w:val="H1"/>
    <w:qFormat/>
    <w:uiPriority w:val="0"/>
    <w:pPr>
      <w:keepNext/>
      <w:spacing w:before="120" w:after="60" w:line="276" w:lineRule="auto"/>
    </w:pPr>
    <w:rPr>
      <w:rFonts w:ascii="Times New Roman" w:hAnsi="Times New Roman" w:eastAsia="黑体" w:cstheme="minorBidi"/>
      <w:b/>
      <w:sz w:val="24"/>
      <w:szCs w:val="22"/>
      <w:lang w:val="en-US" w:eastAsia="en-US" w:bidi="ar-SA"/>
    </w:rPr>
  </w:style>
  <w:style w:type="paragraph" w:customStyle="1" w:styleId="166">
    <w:name w:val="H2"/>
    <w:qFormat/>
    <w:uiPriority w:val="0"/>
    <w:pPr>
      <w:keepNext/>
      <w:spacing w:before="120" w:after="60" w:line="276" w:lineRule="auto"/>
    </w:pPr>
    <w:rPr>
      <w:rFonts w:ascii="Times New Roman" w:hAnsi="Times New Roman" w:eastAsia="黑体" w:cstheme="minorBidi"/>
      <w:b/>
      <w:sz w:val="21"/>
      <w:szCs w:val="22"/>
      <w:lang w:val="en-US" w:eastAsia="en-US" w:bidi="ar-SA"/>
    </w:rPr>
  </w:style>
  <w:style w:type="paragraph" w:customStyle="1" w:styleId="167">
    <w:name w:val="H3"/>
    <w:qFormat/>
    <w:uiPriority w:val="0"/>
    <w:pPr>
      <w:keepNext/>
      <w:spacing w:before="120" w:after="60" w:line="276" w:lineRule="auto"/>
    </w:pPr>
    <w:rPr>
      <w:rFonts w:ascii="Times New Roman" w:hAnsi="Times New Roman" w:eastAsia="黑体" w:cstheme="minorBidi"/>
      <w:b/>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3699</Words>
  <Characters>4313</Characters>
  <Lines>0</Lines>
  <Paragraphs>0</Paragraphs>
  <TotalTime>1</TotalTime>
  <ScaleCrop>false</ScaleCrop>
  <LinksUpToDate>false</LinksUpToDate>
  <CharactersWithSpaces>4375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T-T</cp:lastModifiedBy>
  <dcterms:modified xsi:type="dcterms:W3CDTF">2026-08-21T19:18:29Z</dcterms:modified>
  <dc:subject>论文文字表格重构稿</dc:subject>
  <dc:title>基于KG-GCN的燃煤机组汽轮机系统故障诊断方法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eyJoZGlkIjoiM2ZhMjk1OWM2ZTgxNjdkNGExZDA0MTMxYjg2ZmQ0MTUiLCJ1c2VySWQiOiI2NjgxMTMzMDgifQ==</vt:lpwstr>
  </property>
  <property fmtid="{D5CDD505-2E9C-101B-9397-08002B2CF9AE}" pid="3" name="KSOProductBuildVer">
    <vt:lpwstr>2052-12.1.0.28043</vt:lpwstr>
  </property>
  <property fmtid="{D5CDD505-2E9C-101B-9397-08002B2CF9AE}" pid="4" name="ICV">
    <vt:lpwstr>26FEF3CD7E114A86A60991CC915A0B36_12</vt:lpwstr>
  </property>
</Properties>
</file>