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„N” – JOGI ISMERETEK, HATÁSKÖR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ÉS KÉNYSZERÍTŐ ESZKÖZÖK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7942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7942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TESTŐRSÉG JOGÁLLÁSA ÉS HATÁSKÖRE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AZ ARÁNYOSSÁG ELVE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A KÉNYSZERÍTŐ ESZKÖZÖK RENDSZERE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TESTI KÉNYSZER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SOKKOLÓ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BILINCS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MAROKLŐFEGYVER – A HALÁLOS ERŐ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ELŐÁLLÍTÁS ÉS ÁTADÁS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INTÉZKEDÉS CIVILEKKEL SZEMBEN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EGYÜTTMŰKÖDÉS ÉS HATÁSKÖRI ÜTKÖZÉS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RP-SZERVERSZABÁLYOK – A JÁTÉKON KÍVÜLI KERET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DOKUMENTÁCIÓS KÖTELEZETTSÉG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15.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16.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 hatalmat kap: fegyvert, bilincset, sokkolót és azt a jogot, hogy más ember mozgását korlátozza. Ez a hatalom nem a testőré – </w:t>
      </w:r>
      <w:r>
        <w:rPr>
          <w:rFonts w:cstheme="minorHAnsi"/>
          <w:b/>
          <w:bCs/>
          <w:sz w:val="24"/>
          <w:szCs w:val="24"/>
        </w:rPr>
        <w:t xml:space="preserve">a hivatalé</w:t>
      </w:r>
      <w:r>
        <w:rPr>
          <w:rFonts w:cstheme="minorHAnsi"/>
          <w:sz w:val="24"/>
          <w:szCs w:val="24"/>
        </w:rPr>
        <w:t xml:space="preserve">, amit visel. Aki ezt összekeveri, az előbb-utóbb magának és a szervezetnek is árt.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azt tanítja meg, </w:t>
      </w:r>
      <w:r>
        <w:rPr>
          <w:rFonts w:cstheme="minorHAnsi"/>
          <w:b/>
          <w:bCs/>
          <w:sz w:val="24"/>
          <w:szCs w:val="24"/>
        </w:rPr>
        <w:t xml:space="preserve">meddig terjed a jogod</w:t>
      </w:r>
      <w:r>
        <w:rPr>
          <w:rFonts w:cstheme="minorHAnsi"/>
          <w:sz w:val="24"/>
          <w:szCs w:val="24"/>
        </w:rPr>
        <w:t xml:space="preserve">, mikor lépheted át a következő szintet, és mit kell tenned utána. A technikát más modulok tanítják; itt a keret van.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 testőr minden intézkedéséért </w:t>
      </w:r>
      <w:r>
        <w:rPr>
          <w:rFonts w:cstheme="minorHAnsi"/>
          <w:b/>
          <w:bCs/>
          <w:sz w:val="24"/>
          <w:szCs w:val="24"/>
        </w:rPr>
        <w:t xml:space="preserve">személyesen felel</w:t>
      </w:r>
      <w:r>
        <w:rPr>
          <w:rFonts w:cstheme="minorHAnsi"/>
          <w:sz w:val="24"/>
          <w:szCs w:val="24"/>
        </w:rPr>
        <w:t xml:space="preserve">. A „parancsra tettem” nem mentesít az aránytalan vagy jogszerűtlen erő alkalmazása alól.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TESTŐRSÉG JOGÁLLÁSA ÉS HATÁSKÖRE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Mi a testőrség feladata?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személyek – elnök, alelnök, miniszterek és a kijelölt személyek – testi és pszichikai biztonságának garantálása;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közrend fenntartása és biztosítása kiemelt események során;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kormányzati létesítmények és járművek védelme;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rendvédelmi szervekkel való együttműködés a fenti feladatok ellátásában.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2.2. Mi NEM a testőrség feladata?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általános bűnüldözés</w:t>
      </w:r>
      <w:r>
        <w:rPr>
          <w:rFonts w:cstheme="minorHAnsi"/>
          <w:sz w:val="24"/>
          <w:szCs w:val="24"/>
        </w:rPr>
        <w:t xml:space="preserve"> – ez az LSPD és a Sheriffség dolga;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nyomozás, felderítés civil ügyekben;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közlekedésrendészeti intézkedés;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bírságolás, szabálysértési eljárás;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személytől független, önálló rendfenntartó akció.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Alapszabály</w:t>
      </w:r>
      <w:r>
        <w:rPr>
          <w:rFonts w:cstheme="minorHAnsi"/>
          <w:sz w:val="24"/>
          <w:szCs w:val="24"/>
        </w:rPr>
        <w:t xml:space="preserve">: ha egy intézkedés nem szolgálja a védett személy biztonságát vagy a rábízott létesítmény védelmét, akkor </w:t>
      </w:r>
      <w:r>
        <w:rPr>
          <w:rFonts w:cstheme="minorHAnsi"/>
          <w:b/>
          <w:bCs/>
          <w:sz w:val="24"/>
          <w:szCs w:val="24"/>
        </w:rPr>
        <w:t xml:space="preserve">valószínűleg nem a te dolgod</w:t>
      </w:r>
      <w:r>
        <w:rPr>
          <w:rFonts w:cstheme="minorHAnsi"/>
          <w:sz w:val="24"/>
          <w:szCs w:val="24"/>
        </w:rPr>
        <w:t xml:space="preserve">. Ilyenkor jelents és hívd a rendvédelmet.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2.3. Hol intézkedhet a testőr?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4536"/>
        <w:gridCol w:w="5046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453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Helyszín</w:t>
            </w:r>
          </w:p>
        </w:tc>
        <w:tc>
          <w:tcPr>
            <w:tcW w:type="dxa" w:w="5046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Jogosultság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Kormányzati létesítmény (önkormányzat, városháza)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Teljes körű intézkedési jog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A védett személy közvetlen környezete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Teljes körű intézkedési jog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Konvoj útvonala és annak közvetlen környezete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Az útvonal biztosításához szükséges mértékben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Rendezvény biztosított területe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A biztosítási feladat körében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Nyilvános tér, a védett személytől függetlenül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Csak közvetlen életveszély vagy súlyos bűncselekmény észlelése esetén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AZ ARÁNYOSSÁG ELVE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arányosság a teljes intézkedési rendszer gerince. Három kérdésből áll, és mindháromra igennel kell tudni válaszolni: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Szükséges-e?</w:t>
      </w:r>
      <w:r>
        <w:rPr>
          <w:rFonts w:cstheme="minorHAnsi"/>
          <w:sz w:val="24"/>
          <w:szCs w:val="24"/>
        </w:rPr>
        <w:t xml:space="preserve"> Van-e enyhébb eszköz, amivel a cél elérhető?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Alkalmas-e?</w:t>
      </w:r>
      <w:r>
        <w:rPr>
          <w:rFonts w:cstheme="minorHAnsi"/>
          <w:sz w:val="24"/>
          <w:szCs w:val="24"/>
        </w:rPr>
        <w:t xml:space="preserve"> Ez az eszköz valóban megoldja a helyzetet?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Arányos-e?</w:t>
      </w:r>
      <w:r>
        <w:rPr>
          <w:rFonts w:cstheme="minorHAnsi"/>
          <w:sz w:val="24"/>
          <w:szCs w:val="24"/>
        </w:rPr>
        <w:t xml:space="preserve"> Az okozott hátrány nem nagyobb-e, mint az elhárított veszély?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Az erőalkalmazás megszüntetése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erő alkalmazását </w:t>
      </w:r>
      <w:r>
        <w:rPr>
          <w:rFonts w:cstheme="minorHAnsi"/>
          <w:b/>
          <w:bCs/>
          <w:sz w:val="24"/>
          <w:szCs w:val="24"/>
        </w:rPr>
        <w:t xml:space="preserve">azonnal abba kell hagyni</w:t>
      </w:r>
      <w:r>
        <w:rPr>
          <w:rFonts w:cstheme="minorHAnsi"/>
          <w:sz w:val="24"/>
          <w:szCs w:val="24"/>
        </w:rPr>
        <w:t xml:space="preserve">, amint: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ellenállás megszűnt;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személy kontroll alá került;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veszély elhárult;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további erő alkalmazása aránytalanná válna.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Kiemelten fontos</w:t>
      </w:r>
      <w:r>
        <w:rPr>
          <w:rFonts w:cstheme="minorHAnsi"/>
          <w:sz w:val="24"/>
          <w:szCs w:val="24"/>
        </w:rPr>
        <w:t xml:space="preserve">: a kontroll alá került, bilincselt vagy földön fekvő személlyel szemben </w:t>
      </w:r>
      <w:r>
        <w:rPr>
          <w:rFonts w:cstheme="minorHAnsi"/>
          <w:b/>
          <w:bCs/>
          <w:sz w:val="24"/>
          <w:szCs w:val="24"/>
        </w:rPr>
        <w:t xml:space="preserve">minden további erőalkalmazás jogszerűtlen</w:t>
      </w:r>
      <w:r>
        <w:rPr>
          <w:rFonts w:cstheme="minorHAnsi"/>
          <w:sz w:val="24"/>
          <w:szCs w:val="24"/>
        </w:rPr>
        <w:t xml:space="preserve">, és kiemelten súlyos fegyelmi vétség.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A KÉNYSZERÍTŐ ESZKÖZÖK RENDSZERE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567"/>
        <w:gridCol w:w="2041"/>
        <w:gridCol w:w="3628"/>
        <w:gridCol w:w="334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567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Fok</w:t>
            </w:r>
          </w:p>
        </w:tc>
        <w:tc>
          <w:tcPr>
            <w:tcW w:type="dxa" w:w="204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Eszköz</w:t>
            </w:r>
          </w:p>
        </w:tc>
        <w:tc>
          <w:tcPr>
            <w:tcW w:type="dxa" w:w="36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Mikor alkalmazható</w:t>
            </w:r>
          </w:p>
        </w:tc>
        <w:tc>
          <w:tcPr>
            <w:tcW w:type="dxa" w:w="334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Mikor NEM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22"/>
              </w:rPr>
              <w:t>Jelenlét, verbális irányítás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Minden helyzet kiindulópontja</w:t>
            </w:r>
          </w:p>
        </w:tc>
        <w:tc>
          <w:tcPr>
            <w:tcW w:type="dxa" w:w="3345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22"/>
              </w:rPr>
              <w:t>Testi kényszer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Az alany ellenáll, de nem jelent halálos veszélyt</w:t>
            </w:r>
          </w:p>
        </w:tc>
        <w:tc>
          <w:tcPr>
            <w:tcW w:type="dxa" w:w="3345"/>
          </w:tcPr>
          <w:p>
            <w:r/>
            <w:r>
              <w:rPr>
                <w:sz w:val="22"/>
              </w:rPr>
              <w:t>Ha az alany fegyvert fog vagy jelentős túlereje van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22"/>
              </w:rPr>
              <w:t>Sokkoló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Erőszakos ellenállás, távolság megtartásával</w:t>
            </w:r>
          </w:p>
        </w:tc>
        <w:tc>
          <w:tcPr>
            <w:tcW w:type="dxa" w:w="3345"/>
          </w:tcPr>
          <w:p>
            <w:r/>
            <w:r>
              <w:rPr>
                <w:sz w:val="22"/>
              </w:rPr>
              <w:t>Víz közelében, magas helyen, esős időben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22"/>
              </w:rPr>
              <w:t>Bilincs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Letartóztatás után, transzportáláskor</w:t>
            </w:r>
          </w:p>
        </w:tc>
        <w:tc>
          <w:tcPr>
            <w:tcW w:type="dxa" w:w="3345"/>
          </w:tcPr>
          <w:p>
            <w:r/>
            <w:r>
              <w:rPr>
                <w:sz w:val="22"/>
              </w:rPr>
              <w:t>Ha az alany súlyos sérülést szenvedett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22"/>
              </w:rPr>
              <w:t>Maroklőfegyver (halálos erő)</w:t>
            </w:r>
          </w:p>
        </w:tc>
        <w:tc>
          <w:tcPr>
            <w:tcW w:type="dxa" w:w="3628"/>
          </w:tcPr>
          <w:p>
            <w:r/>
            <w:r>
              <w:rPr>
                <w:sz w:val="22"/>
              </w:rPr>
              <w:t>Kizárólag életveszélyes helyzetben, ha nincs más megoldás</w:t>
            </w:r>
          </w:p>
        </w:tc>
        <w:tc>
          <w:tcPr>
            <w:tcW w:type="dxa" w:w="3345"/>
          </w:tcPr>
          <w:p>
            <w:r/>
            <w:r>
              <w:rPr>
                <w:sz w:val="22"/>
              </w:rPr>
              <w:t>Nem halálos fenyegetés esetén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Fokozatosság</w:t>
      </w:r>
      <w:r>
        <w:rPr>
          <w:rFonts w:cstheme="minorHAnsi"/>
          <w:sz w:val="24"/>
          <w:szCs w:val="24"/>
        </w:rPr>
        <w:t xml:space="preserve">: a fokozatok átugrása kizárólag akkor jogszerű, ha a helyzet hirtelen ugrik – például fegyvert rántanak. Minden más esetben végig kell menni a létrán, és ezt a jelentésben igazolni kell.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TESTI KÉNYSZER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Fogalma:</w:t>
      </w:r>
      <w:r>
        <w:rPr>
          <w:rFonts w:cstheme="minorHAnsi"/>
          <w:sz w:val="24"/>
          <w:szCs w:val="24"/>
        </w:rPr>
        <w:t xml:space="preserve"> fizikai erő alkalmazása egy személy mozgásának korlátozására;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Alkalmazás:</w:t>
      </w:r>
      <w:r>
        <w:rPr>
          <w:rFonts w:cstheme="minorHAnsi"/>
          <w:sz w:val="24"/>
          <w:szCs w:val="24"/>
        </w:rPr>
        <w:t xml:space="preserve"> amikor az alany ellenáll, de nem jelent halálos veszélyt;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alkalmazzuk:</w:t>
      </w:r>
      <w:r>
        <w:rPr>
          <w:rFonts w:cstheme="minorHAnsi"/>
          <w:sz w:val="24"/>
          <w:szCs w:val="24"/>
        </w:rPr>
        <w:t xml:space="preserve"> ha az alany fegyvert fog, vagy ha jelentős túlereje van – ilyenkor távolodás, erősítés kérése vagy magasabb fokozat;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Formái:</w:t>
      </w:r>
      <w:r>
        <w:rPr>
          <w:rFonts w:cstheme="minorHAnsi"/>
          <w:sz w:val="24"/>
          <w:szCs w:val="24"/>
        </w:rPr>
        <w:t xml:space="preserve"> megfogás, elvezetés, lefogás, irányított földre vitel;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Korlát:</w:t>
      </w:r>
      <w:r>
        <w:rPr>
          <w:rFonts w:cstheme="minorHAnsi"/>
          <w:sz w:val="24"/>
          <w:szCs w:val="24"/>
        </w:rPr>
        <w:t xml:space="preserve"> a fejre, nyakra és gerincre irányuló technikák csak közvetlen életveszély elhárítására alkalmazhatók.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SOKKOLÓ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Fogalma:</w:t>
      </w:r>
      <w:r>
        <w:rPr>
          <w:rFonts w:cstheme="minorHAnsi"/>
          <w:sz w:val="24"/>
          <w:szCs w:val="24"/>
        </w:rPr>
        <w:t xml:space="preserve"> elektromos eszköz ideiglenes mozgásképtelenség előidézésére;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Alkalmazás:</w:t>
      </w:r>
      <w:r>
        <w:rPr>
          <w:rFonts w:cstheme="minorHAnsi"/>
          <w:sz w:val="24"/>
          <w:szCs w:val="24"/>
        </w:rPr>
        <w:t xml:space="preserve"> erőszakos ellenállás esetén, </w:t>
      </w:r>
      <w:r>
        <w:rPr>
          <w:rFonts w:cstheme="minorHAnsi"/>
          <w:b/>
          <w:bCs/>
          <w:sz w:val="24"/>
          <w:szCs w:val="24"/>
        </w:rPr>
        <w:t xml:space="preserve">távolság megtartásával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alkalmazzuk:</w:t>
      </w:r>
      <w:r>
        <w:rPr>
          <w:rFonts w:cstheme="minorHAnsi"/>
          <w:sz w:val="24"/>
          <w:szCs w:val="24"/>
        </w:rPr>
        <w:t xml:space="preserve"> víz közelében, magas helyen, esős időben – az elesés vagy a zuhanás súlyosabb sérülést okozhat, mint amit elhárítunk;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Figyelmeztetés kötelező</w:t>
      </w:r>
      <w:r>
        <w:rPr>
          <w:rFonts w:cstheme="minorHAnsi"/>
          <w:sz w:val="24"/>
          <w:szCs w:val="24"/>
        </w:rPr>
        <w:t xml:space="preserve">, ha a helyzet engedi: „</w:t>
      </w:r>
      <w:r>
        <w:rPr>
          <w:rFonts w:cstheme="minorHAnsi"/>
          <w:b/>
          <w:bCs/>
          <w:sz w:val="24"/>
          <w:szCs w:val="24"/>
        </w:rPr>
        <w:t xml:space="preserve">Sokkoló! Álljon meg!</w:t>
      </w:r>
      <w:r>
        <w:rPr>
          <w:rFonts w:cstheme="minorHAnsi"/>
          <w:sz w:val="24"/>
          <w:szCs w:val="24"/>
        </w:rPr>
        <w:t xml:space="preserve">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Alkalmazás után:</w:t>
      </w:r>
      <w:r>
        <w:rPr>
          <w:rFonts w:cstheme="minorHAnsi"/>
          <w:sz w:val="24"/>
          <w:szCs w:val="24"/>
        </w:rPr>
        <w:t xml:space="preserve"> az alany állapotának ellenőrzése, szükség esetén ellátás az </w:t>
      </w:r>
      <w:r>
        <w:rPr>
          <w:rFonts w:cstheme="minorHAnsi"/>
          <w:b/>
          <w:bCs/>
          <w:sz w:val="24"/>
          <w:szCs w:val="24"/>
        </w:rPr>
        <w:t xml:space="preserve">E modul</w:t>
      </w:r>
      <w:r>
        <w:rPr>
          <w:rFonts w:cstheme="minorHAnsi"/>
          <w:sz w:val="24"/>
          <w:szCs w:val="24"/>
        </w:rPr>
        <w:t xml:space="preserve"> szerint, majd jelentés;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Ismételt alkalmazás</w:t>
      </w:r>
      <w:r>
        <w:rPr>
          <w:rFonts w:cstheme="minorHAnsi"/>
          <w:sz w:val="24"/>
          <w:szCs w:val="24"/>
        </w:rPr>
        <w:t xml:space="preserve"> csak akkor, ha az ellenállás továbbra is fennáll.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Szigorú tilalom</w:t>
      </w:r>
      <w:r>
        <w:rPr>
          <w:rFonts w:cstheme="minorHAnsi"/>
          <w:sz w:val="24"/>
          <w:szCs w:val="24"/>
        </w:rPr>
        <w:t xml:space="preserve">: a sokkoló szolgálati eszköz. </w:t>
      </w:r>
      <w:r>
        <w:rPr>
          <w:rFonts w:cstheme="minorHAnsi"/>
          <w:b/>
          <w:bCs/>
          <w:sz w:val="24"/>
          <w:szCs w:val="24"/>
        </w:rPr>
        <w:t xml:space="preserve">Civilként való viselése SZIGORÚAN TILOS</w:t>
      </w:r>
      <w:r>
        <w:rPr>
          <w:rFonts w:cstheme="minorHAnsi"/>
          <w:sz w:val="24"/>
          <w:szCs w:val="24"/>
        </w:rPr>
        <w:t xml:space="preserve">, mulasztás esetén szövetségi börtön jár érte.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BILINCS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Fogalma:</w:t>
      </w:r>
      <w:r>
        <w:rPr>
          <w:rFonts w:cstheme="minorHAnsi"/>
          <w:sz w:val="24"/>
          <w:szCs w:val="24"/>
        </w:rPr>
        <w:t xml:space="preserve"> a kezek mozgásának korlátozása;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Alkalmazás:</w:t>
      </w:r>
      <w:r>
        <w:rPr>
          <w:rFonts w:cstheme="minorHAnsi"/>
          <w:sz w:val="24"/>
          <w:szCs w:val="24"/>
        </w:rPr>
        <w:t xml:space="preserve"> letartóztatás után, előállításkor, transzportáláskor;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alkalmazzuk:</w:t>
      </w:r>
      <w:r>
        <w:rPr>
          <w:rFonts w:cstheme="minorHAnsi"/>
          <w:sz w:val="24"/>
          <w:szCs w:val="24"/>
        </w:rPr>
        <w:t xml:space="preserve"> ha az alany súlyos sérülést szenvedett, és a bilincs akadályozná az ellátást, vagy ha az állapota nem teszi biztonságossá;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Szorosság:</w:t>
      </w:r>
      <w:r>
        <w:rPr>
          <w:rFonts w:cstheme="minorHAnsi"/>
          <w:sz w:val="24"/>
          <w:szCs w:val="24"/>
        </w:rPr>
        <w:t xml:space="preserve"> egy ujj beférjen, de ne lehessen kicsúsztatni; a dupla zár kötelező;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Felügyelet:</w:t>
      </w:r>
      <w:r>
        <w:rPr>
          <w:rFonts w:cstheme="minorHAnsi"/>
          <w:sz w:val="24"/>
          <w:szCs w:val="24"/>
        </w:rPr>
        <w:t xml:space="preserve"> a bilincselt személy soha nem marad felügyelet nélkül, és nem fektetjük hason hosszabb ideig;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Ellenőrzés:</w:t>
      </w:r>
      <w:r>
        <w:rPr>
          <w:rFonts w:cstheme="minorHAnsi"/>
          <w:sz w:val="24"/>
          <w:szCs w:val="24"/>
        </w:rPr>
        <w:t xml:space="preserve"> kísérés közben a bilincs szorosságát rendszeresen ellenőrizni kell.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MAROKLŐFEGYVER – A HALÁLOS ERŐ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Mikor alkalmazható?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lőfegyver </w:t>
      </w:r>
      <w:r>
        <w:rPr>
          <w:rFonts w:cstheme="minorHAnsi"/>
          <w:b/>
          <w:bCs/>
          <w:sz w:val="24"/>
          <w:szCs w:val="24"/>
        </w:rPr>
        <w:t xml:space="preserve">halálos erőt képvisel</w:t>
      </w:r>
      <w:r>
        <w:rPr>
          <w:rFonts w:cstheme="minorHAnsi"/>
          <w:sz w:val="24"/>
          <w:szCs w:val="24"/>
        </w:rPr>
        <w:t xml:space="preserve">, ezért utolsó lehetőségként alkalmazandó. Használata kizárólag akkor jogszerű, ha: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közvetlen, valós és azonnali életveszély</w:t>
      </w:r>
      <w:r>
        <w:rPr>
          <w:rFonts w:cstheme="minorHAnsi"/>
          <w:sz w:val="24"/>
          <w:szCs w:val="24"/>
        </w:rPr>
        <w:t xml:space="preserve"> áll fenn a védett személyre, önmagunkra vagy másra nézve;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nincs más lehetőség</w:t>
      </w:r>
      <w:r>
        <w:rPr>
          <w:rFonts w:cstheme="minorHAnsi"/>
          <w:sz w:val="24"/>
          <w:szCs w:val="24"/>
        </w:rPr>
        <w:t xml:space="preserve"> a veszély elhárítására;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 háttér tiszta</w:t>
      </w:r>
      <w:r>
        <w:rPr>
          <w:rFonts w:cstheme="minorHAnsi"/>
          <w:sz w:val="24"/>
          <w:szCs w:val="24"/>
        </w:rPr>
        <w:t xml:space="preserve"> – a lövedék nem veszélyeztet kívülállót;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lövés </w:t>
      </w:r>
      <w:r>
        <w:rPr>
          <w:rFonts w:cstheme="minorHAnsi"/>
          <w:b/>
          <w:bCs/>
          <w:sz w:val="24"/>
          <w:szCs w:val="24"/>
        </w:rPr>
        <w:t xml:space="preserve">arányos</w:t>
      </w:r>
      <w:r>
        <w:rPr>
          <w:rFonts w:cstheme="minorHAnsi"/>
          <w:sz w:val="24"/>
          <w:szCs w:val="24"/>
        </w:rPr>
        <w:t xml:space="preserve"> az elhárítandó veszéllyel.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Mikor NEM alkalmazható?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halálos fenyegetés esetén;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menekülő, nem fenyegető személlyel szemben;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kizárólag vagyon védelmében;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figyelmeztetésként vagy megfélemlítésre;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háttérben civilek vagy lakott terület van;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testőr nincs biztos a cél azonosításában.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8.3. Figyelmeztetés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Ha a helyzet engedi, a fegyverhasználat előtt hangos figyelmeztetést kell adni: „</w:t>
      </w:r>
      <w:r>
        <w:rPr>
          <w:rFonts w:cstheme="minorHAnsi"/>
          <w:b/>
          <w:bCs/>
          <w:sz w:val="24"/>
          <w:szCs w:val="24"/>
        </w:rPr>
        <w:t xml:space="preserve">Testőrség! Dobja el a fegyvert!</w:t>
      </w:r>
      <w:r>
        <w:rPr>
          <w:rFonts w:cstheme="minorHAnsi"/>
          <w:sz w:val="24"/>
          <w:szCs w:val="24"/>
        </w:rPr>
        <w:t xml:space="preserve">” A figyelmeztetés elhagyása csak akkor jogszerű, ha az késleltetés életveszélyt jelentene.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8.4. Fegyverviselési szabályok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pisztolyt </w:t>
      </w:r>
      <w:r>
        <w:rPr>
          <w:rFonts w:cstheme="minorHAnsi"/>
          <w:b/>
          <w:bCs/>
          <w:sz w:val="24"/>
          <w:szCs w:val="24"/>
        </w:rPr>
        <w:t xml:space="preserve">érvényes fegyvertartási engedéllyel SEM lehet szolgálaton kívül magadnál tartani</w:t>
      </w:r>
      <w:r>
        <w:rPr>
          <w:rFonts w:cstheme="minorHAnsi"/>
          <w:sz w:val="24"/>
          <w:szCs w:val="24"/>
        </w:rPr>
        <w:t xml:space="preserve"> – a szolgálat leadásakor minden esetben a saját tárolóba vagy a fegyverszekrénybe kerül, és erre engedély sem kérhető;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nyílt fegyverviselés sem szolgálatban, sem azon kívül nem engedélyezett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aki szolgálati pisztollyal civilként közlekedik, azzal szemben a rendvédelem </w:t>
      </w:r>
      <w:r>
        <w:rPr>
          <w:rFonts w:cstheme="minorHAnsi"/>
          <w:b/>
          <w:bCs/>
          <w:sz w:val="24"/>
          <w:szCs w:val="24"/>
        </w:rPr>
        <w:t xml:space="preserve">előállítást foganatosít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AR-15 és a SIG MPX </w:t>
      </w:r>
      <w:r>
        <w:rPr>
          <w:rFonts w:cstheme="minorHAnsi"/>
          <w:b/>
          <w:bCs/>
          <w:sz w:val="24"/>
          <w:szCs w:val="24"/>
        </w:rPr>
        <w:t xml:space="preserve">háton viselése TILOS</w:t>
      </w:r>
      <w:r>
        <w:rPr>
          <w:rFonts w:cstheme="minorHAnsi"/>
          <w:sz w:val="24"/>
          <w:szCs w:val="24"/>
        </w:rPr>
        <w:t xml:space="preserve">, kizárólag a csomagtartóban szállítható; ezt csak a rendvédelmi miniszter vagy a rangban felette lévők írhatják felül.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ELŐÁLLÍTÁS ÉS ÁTADÁS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Mikor állítható elő valaki?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védett személy ellen bűncselekményt kísérelt meg vagy követett 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kormányzati létesítményben rongált, lopott vagy tiltott területre próbált bejutni;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felszólítás ellenére nem hagyja el a területet;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személyazonossága nem állapítható meg, és alapos gyanú merül fel;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rendvédelem kifejezetten kéri az együttműködés keretében.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Az előállítás menete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</w:t>
      </w:r>
      <w:r>
        <w:rPr>
          <w:rFonts w:cstheme="minorHAnsi"/>
          <w:sz w:val="24"/>
          <w:szCs w:val="24"/>
        </w:rPr>
        <w:t xml:space="preserve"> Az intézkedés bejelentése: „</w:t>
      </w:r>
      <w:r>
        <w:rPr>
          <w:rFonts w:cstheme="minorHAnsi"/>
          <w:b/>
          <w:bCs/>
          <w:sz w:val="24"/>
          <w:szCs w:val="24"/>
        </w:rPr>
        <w:t xml:space="preserve">Testőrség, intézkedés alatt áll.</w:t>
      </w:r>
      <w:r>
        <w:rPr>
          <w:rFonts w:cstheme="minorHAnsi"/>
          <w:sz w:val="24"/>
          <w:szCs w:val="24"/>
        </w:rPr>
        <w:t xml:space="preserve">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</w:t>
      </w:r>
      <w:r>
        <w:rPr>
          <w:rFonts w:cstheme="minorHAnsi"/>
          <w:sz w:val="24"/>
          <w:szCs w:val="24"/>
        </w:rPr>
        <w:t xml:space="preserve"> Az ok közlése röviden és érthetően;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</w:t>
      </w:r>
      <w:r>
        <w:rPr>
          <w:rFonts w:cstheme="minorHAnsi"/>
          <w:sz w:val="24"/>
          <w:szCs w:val="24"/>
        </w:rPr>
        <w:t xml:space="preserve"> Kontroll alá vétel, szükség esetén bilincselés;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</w:t>
      </w:r>
      <w:r>
        <w:rPr>
          <w:rFonts w:cstheme="minorHAnsi"/>
          <w:sz w:val="24"/>
          <w:szCs w:val="24"/>
        </w:rPr>
        <w:t xml:space="preserve"> Átvizsgálás fegyver és veszélyes tárgy után;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</w:t>
      </w:r>
      <w:r>
        <w:rPr>
          <w:rFonts w:cstheme="minorHAnsi"/>
          <w:sz w:val="24"/>
          <w:szCs w:val="24"/>
        </w:rPr>
        <w:t xml:space="preserve"> Az elvett tárgyak jegyzékbe vétele;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6.</w:t>
      </w:r>
      <w:r>
        <w:rPr>
          <w:rFonts w:cstheme="minorHAnsi"/>
          <w:sz w:val="24"/>
          <w:szCs w:val="24"/>
        </w:rPr>
        <w:t xml:space="preserve"> Rádiós jelentés és a rendvédelem értesítése;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</w:t>
      </w:r>
      <w:r>
        <w:rPr>
          <w:rFonts w:cstheme="minorHAnsi"/>
          <w:sz w:val="24"/>
          <w:szCs w:val="24"/>
        </w:rPr>
        <w:t xml:space="preserve"> Átadás: személyazonosság, a cselekmény leírása, az elvett tárgyak, tanúk;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8.</w:t>
      </w:r>
      <w:r>
        <w:rPr>
          <w:rFonts w:cstheme="minorHAnsi"/>
          <w:sz w:val="24"/>
          <w:szCs w:val="24"/>
        </w:rPr>
        <w:t xml:space="preserve"> Jelentés megírása a szolgálat végéig.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testőrség </w:t>
      </w:r>
      <w:r>
        <w:rPr>
          <w:rFonts w:cstheme="minorHAnsi"/>
          <w:b/>
          <w:bCs/>
          <w:sz w:val="24"/>
          <w:szCs w:val="24"/>
        </w:rPr>
        <w:t xml:space="preserve">nem tart fogva</w:t>
      </w:r>
      <w:r>
        <w:rPr>
          <w:rFonts w:cstheme="minorHAnsi"/>
          <w:sz w:val="24"/>
          <w:szCs w:val="24"/>
        </w:rPr>
        <w:t xml:space="preserve"> senkit. Az előállított személyt a lehető legrövidebb időn belül át kell adni a rendvédelemnek.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INTÉZKEDÉS CIVILEKKEL SZEMBEN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civil </w:t>
      </w:r>
      <w:r>
        <w:rPr>
          <w:rFonts w:cstheme="minorHAnsi"/>
          <w:b/>
          <w:bCs/>
          <w:sz w:val="24"/>
          <w:szCs w:val="24"/>
        </w:rPr>
        <w:t xml:space="preserve">nem ellenség</w:t>
      </w:r>
      <w:r>
        <w:rPr>
          <w:rFonts w:cstheme="minorHAnsi"/>
          <w:sz w:val="24"/>
          <w:szCs w:val="24"/>
        </w:rPr>
        <w:t xml:space="preserve"> – az alapállapot a segítőkész, hivatalos hangnem;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intézkedés során a testőr </w:t>
      </w:r>
      <w:r>
        <w:rPr>
          <w:rFonts w:cstheme="minorHAnsi"/>
          <w:b/>
          <w:bCs/>
          <w:sz w:val="24"/>
          <w:szCs w:val="24"/>
        </w:rPr>
        <w:t xml:space="preserve">bemutatkozik</w:t>
      </w:r>
      <w:r>
        <w:rPr>
          <w:rFonts w:cstheme="minorHAnsi"/>
          <w:sz w:val="24"/>
          <w:szCs w:val="24"/>
        </w:rPr>
        <w:t xml:space="preserve">: „Testőrség.”;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intézkedés okát közölni kell, kivéve ha ez a művelet biztonságát veszélyeztetné;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kiskorúval, idős vagy sérült személlyel szemben fokozott körültekintés;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civil felvételt készíthet nyilvános térben – ennek megakadályozása nem a testőr hatásköre, de a védett helyiségekről készült felvétel megszüntetése igen;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panasz esetén a civilt tájékoztatni kell arról, hova fordulhat.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EGYÜTTMŰKÖDÉS ÉS HATÁSKÖRI ÜTKÖZÉS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5103"/>
        <w:gridCol w:w="4479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510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Helyzet</w:t>
            </w:r>
          </w:p>
        </w:tc>
        <w:tc>
          <w:tcPr>
            <w:tcW w:type="dxa" w:w="4479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Ki az elsődleges?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A védett személy közvetlen védelme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Testőrség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Bűncselekmény felderítése, nyomozás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LSPD / Sheriffség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Közlekedési intézkedés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LSPD / Sheriffség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Egészségügyi ellátás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EMS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Túszhelyzet, magas kockázatú behatolás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SWAT, testőrségi támogatással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2"/>
              </w:rPr>
              <w:t>Kormányzati létesítmény belső rendje</w:t>
            </w:r>
          </w:p>
        </w:tc>
        <w:tc>
          <w:tcPr>
            <w:tcW w:type="dxa" w:w="4479"/>
          </w:tcPr>
          <w:p>
            <w:r/>
            <w:r>
              <w:rPr>
                <w:sz w:val="22"/>
              </w:rPr>
              <w:t>Testőrség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Hatásköri ütközés esetén az eljárás: </w:t>
      </w:r>
      <w:r>
        <w:rPr>
          <w:rFonts w:cstheme="minorHAnsi"/>
          <w:b/>
          <w:bCs/>
          <w:sz w:val="24"/>
          <w:szCs w:val="24"/>
        </w:rPr>
        <w:t xml:space="preserve">a helyszínen nem vitatkozunk</w:t>
      </w:r>
      <w:r>
        <w:rPr>
          <w:rFonts w:cstheme="minorHAnsi"/>
          <w:sz w:val="24"/>
          <w:szCs w:val="24"/>
        </w:rPr>
        <w:t xml:space="preserve">. A testőr jelenti a helyzetet a műveleti parancsnoknak, aki egyeztet a másik szervezet parancsnokával. A védett személy biztonsága ez idő alatt is elsőbbséget élvez.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RP-SZERVERSZABÁLYOK – A JÁTÉKON KÍVÜLI KERET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karakterek világán túl van egy másik szabályrendszer is, amelynek megsértése nem karakteres, hanem szerverszintű következménnyel jár. Ezek ismerete minden ügynök számára kötelező.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814"/>
        <w:gridCol w:w="3855"/>
        <w:gridCol w:w="391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81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Szabály</w:t>
            </w:r>
          </w:p>
        </w:tc>
        <w:tc>
          <w:tcPr>
            <w:tcW w:type="dxa" w:w="385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Jelentés</w:t>
            </w:r>
          </w:p>
        </w:tc>
        <w:tc>
          <w:tcPr>
            <w:tcW w:type="dxa" w:w="391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Példa a testőri szolgálatból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NLR (New Life Rule)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Halál után a karakter nem emlékszik a halála körülményeire, és nem tér vissza a helyszínre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Egy támadás után a testőr nem térhet vissza bosszút állni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RDM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Indokolatlan ölés érvényes szerepjátékos indok nélkül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Lövés olyan civilre, aki nem jelentett fenyegetést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VDM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Járművel való szándékos gázolás indok nélkül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A konvojt előzni akaró civil elütése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Powergaming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Irreális képességek vagy cselekvések kikényszerítése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Súlyos sérülés után azonnali teljes harcképesség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Metagaming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Játékon kívüli információ használata a karakterben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Olyan információ ismerete, amit a karakter nem szerezhetett meg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Fear RP</w:t>
            </w:r>
          </w:p>
        </w:tc>
        <w:tc>
          <w:tcPr>
            <w:tcW w:type="dxa" w:w="3855"/>
          </w:tcPr>
          <w:p>
            <w:r/>
            <w:r>
              <w:rPr>
                <w:sz w:val="22"/>
              </w:rPr>
              <w:t>A karakternek reálisan félnie kell az életveszélytől</w:t>
            </w:r>
          </w:p>
        </w:tc>
        <w:tc>
          <w:tcPr>
            <w:tcW w:type="dxa" w:w="3912"/>
          </w:tcPr>
          <w:p>
            <w:r/>
            <w:r>
              <w:rPr>
                <w:sz w:val="22"/>
              </w:rPr>
              <w:t>Fegyverrel szemben nem indítunk értelmetlen rohamot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Miért fontos ez a testőrségnek?</w:t>
      </w:r>
      <w:r>
        <w:rPr>
          <w:rFonts w:cstheme="minorHAnsi"/>
          <w:sz w:val="24"/>
          <w:szCs w:val="24"/>
        </w:rPr>
        <w:t xml:space="preserve">: a testőrség a szerver egyik legnagyobb fegyveres szervezete. Ha nálunk elmosódnak ezek a határok, az az egész szerver játékélményét rontja. </w:t>
      </w:r>
      <w:r>
        <w:rPr>
          <w:rFonts w:cstheme="minorHAnsi"/>
          <w:b/>
          <w:bCs/>
          <w:sz w:val="24"/>
          <w:szCs w:val="24"/>
        </w:rPr>
        <w:t xml:space="preserve">Az RP-szabályok megsértése az állományból való eltávolítást vonhatja maga után</w:t>
      </w:r>
      <w:r>
        <w:rPr>
          <w:rFonts w:cstheme="minorHAnsi"/>
          <w:sz w:val="24"/>
          <w:szCs w:val="24"/>
        </w:rPr>
        <w:t xml:space="preserve">, függetlenül a karakteres teljesítménytől.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DOKUMENTÁCIÓS KÖTELEZETTSÉG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Minden kényszerítő eszköz alkalmazásáról </w:t>
      </w:r>
      <w:r>
        <w:rPr>
          <w:rFonts w:cstheme="minorHAnsi"/>
          <w:b/>
          <w:bCs/>
          <w:sz w:val="24"/>
          <w:szCs w:val="24"/>
        </w:rPr>
        <w:t xml:space="preserve">jelentést kell írni</w:t>
      </w:r>
      <w:r>
        <w:rPr>
          <w:rFonts w:cstheme="minorHAnsi"/>
          <w:sz w:val="24"/>
          <w:szCs w:val="24"/>
        </w:rPr>
        <w:t xml:space="preserve">, a szolgálat végéig. A jelentésnek tartalmaznia kell: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milyen eszközt alkalmaztál és hányszor;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 indokolta – milyen magatartás váltotta 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milyen enyhébb eszközt próbáltál előtte, és miért nem vezetett eredményre;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okozott-e sérülést, és milyen ellátás történt;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 volt jelen tanúként;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hogyan zárult az intézkedés.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Emlékeztető</w:t>
      </w:r>
      <w:r>
        <w:rPr>
          <w:rFonts w:cstheme="minorHAnsi"/>
          <w:sz w:val="24"/>
          <w:szCs w:val="24"/>
        </w:rPr>
        <w:t xml:space="preserve">: a jelentés tényszerű: </w:t>
      </w:r>
      <w:r>
        <w:rPr>
          <w:rFonts w:cstheme="minorHAnsi"/>
          <w:b/>
          <w:bCs/>
          <w:sz w:val="24"/>
          <w:szCs w:val="24"/>
        </w:rPr>
        <w:t xml:space="preserve">amit láttál, nem amit gondoltál</w:t>
      </w:r>
      <w:r>
        <w:rPr>
          <w:rFonts w:cstheme="minorHAnsi"/>
          <w:sz w:val="24"/>
          <w:szCs w:val="24"/>
        </w:rPr>
        <w:t xml:space="preserve">. A saját hibát is le kell írni – az elhallgatott hiba később sokkal többe kerül. Részletek az </w:t>
      </w:r>
      <w:r>
        <w:rPr>
          <w:rFonts w:cstheme="minorHAnsi"/>
          <w:b/>
          <w:bCs/>
          <w:sz w:val="24"/>
          <w:szCs w:val="24"/>
        </w:rPr>
        <w:t xml:space="preserve">R – Szolgálati rend és dokumentáció</w:t>
      </w:r>
      <w:r>
        <w:rPr>
          <w:rFonts w:cstheme="minorHAnsi"/>
          <w:sz w:val="24"/>
          <w:szCs w:val="24"/>
        </w:rPr>
        <w:t xml:space="preserve"> modulban.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14.1. Arányossági döntéssor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szituációkat ad be, a jelöltnek meg kell neveznie a helyes eszközt és indokolnia kell;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három arányossági kérdés helyes alkalmazása.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14.2. Eszkalációs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Fokozatosan súlyosbodó szituáció, ahol a jelöltnek lépcsőzetesen kell haladnia;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fokozatátugrás elkerülése, az erőalkalmazás időben történő megszüntetése.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14.3. Előállítási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Teljes nyolclépéses előállítás végrehajtása, átadás szimulálásával;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lépések sorrendje, a jegyzékbe vétel, az átadás teljessége.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14.4. Hatásköri szituációk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Olyan esetek, ahol nem a testőrség az elsődleges – a jelöltnek fel kell ismernie;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hatáskör helyes megítélése, a jelentés és az átadás.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14.5. Jelentésírás kényszerítő eszköz alkalmazásáról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gyakorlaton történtekről teljes jelentés írása;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tényszerűség, teljesség, az indoklás minősége.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15.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írásbeli tesztből, döntési gyakorlatból és egy megírandó jelentésből áll. A vizsgáztató kiemelten figyeli, hogy a jelölt </w:t>
      </w:r>
      <w:r>
        <w:rPr>
          <w:rFonts w:cstheme="minorHAnsi"/>
          <w:b/>
          <w:bCs/>
          <w:sz w:val="24"/>
          <w:szCs w:val="24"/>
        </w:rPr>
        <w:t xml:space="preserve">fel tudja-e ismerni azokat a helyzeteket, ahol nem szabad intézkednie</w:t>
      </w:r>
      <w:r>
        <w:rPr>
          <w:rFonts w:cstheme="minorHAnsi"/>
          <w:sz w:val="24"/>
          <w:szCs w:val="24"/>
        </w:rPr>
        <w:t xml:space="preserve">.</w:t>
      </w:r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16.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jog nem korlát, hanem védőháló – a civilé és a tiéd is. Aki a szabályok szerint jár el, azt a szervezet meg tudja védeni. Aki átlép rajtuk, az egyedül marad, akkor is, ha egyébként igaza volt.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 hatalom, amit az egyenruha ad, nem a tiéd. Kölcsönbe kaptad – és el is vehetik.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3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4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4" name="Kep 900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4" name="Kep 9000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„N” – JOGI ISMERETEK ÉS KÉNYSZERÍTŐ ESZKÖZÖK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