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a="http://schemas.openxmlformats.org/drawingml/2006/main" xmlns:pic="http://schemas.openxmlformats.org/drawingml/2006/picture">
      <w:r>
        <w:rPr>
          <w:noProof/>
        </w:rPr>
        <w:drawing>
          <wp:anchor distT="0" distB="0" distL="114300" distR="114300" simplePos="0" relativeHeight="251658241" behindDoc="0" locked="0" layoutInCell="1" allowOverlap="1">
            <wp:simplePos x="0" y="0"/>
            <wp:positionH relativeFrom="margin">
              <wp:posOffset>4122420</wp:posOffset>
            </wp:positionH>
            <wp:positionV relativeFrom="paragraph">
              <wp:posOffset>-313690</wp:posOffset>
            </wp:positionV>
            <wp:extent cx="1628775" cy="1628775"/>
            <wp:effectExtent l="0" t="0" r="0" b="0"/>
            <wp:wrapNone/>
            <wp:docPr id="900001" name="Kep 9000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01" name="Kep 90000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theme="minorHAnsi"/>
          <w:b/>
          <w:bCs/>
          <w:sz w:val="48"/>
          <w:szCs w:val="48"/>
        </w:rPr>
        <w:t xml:space="preserve">Titkosszolgálat </w:t>
      </w:r>
    </w:p>
    <w:p xmlns:a="http://schemas.openxmlformats.org/drawingml/2006/main" xmlns:pic="http://schemas.openxmlformats.org/drawingml/2006/picture">
      <w:r>
        <w:rPr>
          <w:rFonts w:cstheme="minorHAnsi"/>
          <w:spacing w:val="20"/>
          <w:sz w:val="32"/>
          <w:szCs w:val="32"/>
        </w:rPr>
        <w:t xml:space="preserve">ALAP EGÉSZSÉGÜGYI TANANYAG</w:t>
      </w:r>
    </w:p>
    <w:p xmlns:a="http://schemas.openxmlformats.org/drawingml/2006/main" xmlns:pic="http://schemas.openxmlformats.org/drawingml/2006/picture"/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4680000"/>
            <wp:docPr id="900002" name="Picture 9000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ro_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 xmlns:a="http://schemas.openxmlformats.org/drawingml/2006/main" xmlns:pic="http://schemas.openxmlformats.org/drawingml/2006/picture">
      <w:r>
        <w:rPr>
          <w:noProof/>
        </w:rPr>
        <w:drawing>
          <wp:anchor distT="0" distB="0" distL="114300" distR="114300" simplePos="0" relativeHeight="251658242" behindDoc="0" locked="0" layoutInCell="1" allowOverlap="1">
            <wp:simplePos x="0" y="0"/>
            <wp:positionH relativeFrom="margin">
              <wp:align>right</wp:align>
            </wp:positionH>
            <wp:positionV relativeFrom="page">
              <wp:posOffset>5150000</wp:posOffset>
            </wp:positionV>
            <wp:extent cx="2100000" cy="1980000"/>
            <wp:effectExtent l="0" t="0" r="0" b="0"/>
            <wp:wrapNone/>
            <wp:docPr id="900002" name="Kep 9000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02" name="Kep 900002"/>
                    <pic:cNvPicPr/>
                  </pic:nvPicPr>
                  <pic:blipFill>
                    <a:blip r:embed="rId10" cstate="print">
                      <a:alphaModFix amt="70000"/>
                    </a:blip>
                    <a:stretch>
                      <a:fillRect/>
                    </a:stretch>
                  </pic:blipFill>
                  <pic:spPr>
                    <a:xfrm rot="1200000">
                      <a:off x="0" y="0"/>
                      <a:ext cx="2100000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a="http://schemas.openxmlformats.org/drawingml/2006/main" xmlns:pic="http://schemas.openxmlformats.org/drawingml/2006/picture">
      <w:r>
        <w:br w:type="page"/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TARTALOMJEGYZÉK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1. BEVEZETŐ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2. MI AZ AZ „ABCDE-SÉMA” ÉS MIRE HASZNÁLHATÓ?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3. AZ ABCDE-SÉMA RÉSZLETESEN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4. VÉRZÉSEK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5. KÖTÉSEK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6. NÉHÁNY FONTOSABB GYÓGYSZER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7. LŐTT ÉS SZÚRT SEB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8. TÖRÉSEK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9. ÉGÉS ÉS FÜSTMÉRGEZÉS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10. SOKK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11. ÚJRAÉLESZTÉS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12. ELLÁTÁS TŰZ ALATT – TAKTIKAI SEGÉLYNYÚJTÁS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13. A SÉRÜLT MOZGATÁSA ÉS ÁTADÁSA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14. GYAKORLATI FELADATSOROK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15. SZÁMONKÉRÉS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16. ZÁRSZÓ</w:t>
      </w:r>
      <w:r>
        <w:rPr>
          <w:noProof/>
        </w:rPr>
        <w:drawing>
          <wp:anchor distT="0" distB="0" distL="114300" distR="114300" simplePos="0" relativeHeight="251658243" behindDoc="0" locked="0" layoutInCell="1" allowOverlap="1">
            <wp:simplePos x="0" y="0"/>
            <wp:positionH relativeFrom="margin">
              <wp:align>right</wp:align>
            </wp:positionH>
            <wp:positionV relativeFrom="page">
              <wp:posOffset>6900000</wp:posOffset>
            </wp:positionV>
            <wp:extent cx="2067460" cy="1949183"/>
            <wp:effectExtent l="0" t="0" r="0" b="0"/>
            <wp:wrapNone/>
            <wp:docPr id="900003" name="Kep 9000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03" name="Kep 900003"/>
                    <pic:cNvPicPr/>
                  </pic:nvPicPr>
                  <pic:blipFill>
                    <a:blip r:embed="rId10" cstate="print">
                      <a:alphaModFix amt="70000"/>
                    </a:blip>
                    <a:stretch>
                      <a:fillRect/>
                    </a:stretch>
                  </pic:blipFill>
                  <pic:spPr>
                    <a:xfrm rot="994704">
                      <a:off x="0" y="0"/>
                      <a:ext cx="2067460" cy="19491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a="http://schemas.openxmlformats.org/drawingml/2006/main" xmlns:pic="http://schemas.openxmlformats.org/drawingml/2006/picture">
      <w:r>
        <w:br w:type="page"/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1. BEVEZETŐ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Az alábbi tananyag célja, hogy az Önkormányzathoz tartozó védelmi egységek és az elnöki testőrség tagjai elsajátítsák az alapvető elsősegélynyújtási ismereteket, és képesek legyenek gyors, hatékony beavatkozásra krízishelyzetekben.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Egy lövöldözés, robbanás, közlekedési baleset vagy rosszullét esetén sokszor a helyszínen jelenlévő testőr az első, aki segítséget tud nyújtani – ebben az esetben </w:t>
      </w:r>
      <w:r>
        <w:rPr>
          <w:rFonts w:cstheme="minorHAnsi"/>
          <w:b/>
          <w:bCs/>
          <w:sz w:val="24"/>
          <w:szCs w:val="24"/>
        </w:rPr>
        <w:t xml:space="preserve">szó szerint életet menthet</w:t>
      </w:r>
      <w:r>
        <w:rPr>
          <w:rFonts w:cstheme="minorHAnsi"/>
          <w:sz w:val="24"/>
          <w:szCs w:val="24"/>
        </w:rPr>
        <w:t xml:space="preserve">, ha rendelkezik a megfelelő tudással.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A tananyag a nemzetközi sürgősségi protokollok alapján mutatja be a legalapvetőbb vizsgálati lépéseket, vérzéstípusokat, beavatkozásokat és a leggyakrabban használt gyógyszereket.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A cél nem az, hogy mindenki orvos legyen, hanem az, hogy vészhelyzet esetén </w:t>
      </w:r>
      <w:r>
        <w:rPr>
          <w:rFonts w:cstheme="minorHAnsi"/>
          <w:b/>
          <w:bCs/>
          <w:sz w:val="24"/>
          <w:szCs w:val="24"/>
        </w:rPr>
        <w:t xml:space="preserve">minden testőr tudja, mit tehet – és mit nem</w:t>
      </w:r>
      <w:r>
        <w:rPr>
          <w:rFonts w:cstheme="minorHAnsi"/>
          <w:sz w:val="24"/>
          <w:szCs w:val="24"/>
        </w:rPr>
        <w:t xml:space="preserve">.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Az itt tanultakat rendszeres gyakorlással kell megerősíteni, hiszen stresszhelyzetben csak a begyakorolt mozdulatok és protokollok működnek.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b/>
          <w:bCs/>
          <w:u w:val="single"/>
          <w:sz w:val="24"/>
          <w:szCs w:val="24"/>
        </w:rPr>
        <w:t xml:space="preserve">Kötelező</w:t>
      </w:r>
      <w:r>
        <w:rPr>
          <w:rFonts w:cstheme="minorHAnsi"/>
          <w:sz w:val="24"/>
          <w:szCs w:val="24"/>
        </w:rPr>
        <w:t xml:space="preserve">: a tananyag elsajátítása minden védelmi pozíciót betöltő személy számára ajánlott, a </w:t>
      </w:r>
      <w:r>
        <w:rPr>
          <w:rFonts w:cstheme="minorHAnsi"/>
          <w:b/>
          <w:bCs/>
          <w:sz w:val="24"/>
          <w:szCs w:val="24"/>
        </w:rPr>
        <w:t xml:space="preserve">testőri beosztáshoz pedig kötelező</w:t>
      </w:r>
      <w:r>
        <w:rPr>
          <w:rFonts w:cstheme="minorHAnsi"/>
          <w:sz w:val="24"/>
          <w:szCs w:val="24"/>
        </w:rPr>
        <w:t xml:space="preserve">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2. MI AZ AZ „ABCDE-SÉMA” ÉS MIRE HASZNÁLHATÓ?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Az ABCDE-séma egy nemzetközileg elfogadott, életmentésre szolgáló elsődleges vizsgálati protokoll, amelyet sürgősségi helyzetekben – baleset, lőtt seb, eszméletvesztés, légzési nehézség esetén – alkalmaznak.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Segít abban, hogy a segélynyújtó gyorsan és hatékonyan felismerje az életet közvetlenül veszélyeztető állapotokat, és </w:t>
      </w:r>
      <w:r>
        <w:rPr>
          <w:rFonts w:cstheme="minorHAnsi"/>
          <w:b/>
          <w:bCs/>
          <w:sz w:val="24"/>
          <w:szCs w:val="24"/>
        </w:rPr>
        <w:t xml:space="preserve">megfelelő sorrendben</w:t>
      </w:r>
      <w:r>
        <w:rPr>
          <w:rFonts w:cstheme="minorHAnsi"/>
          <w:sz w:val="24"/>
          <w:szCs w:val="24"/>
        </w:rPr>
        <w:t xml:space="preserve"> reagáljon rájuk.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A módszer lényege, hogy </w:t>
      </w:r>
      <w:r>
        <w:rPr>
          <w:rFonts w:cstheme="minorHAnsi"/>
          <w:b/>
          <w:bCs/>
          <w:sz w:val="24"/>
          <w:szCs w:val="24"/>
        </w:rPr>
        <w:t xml:space="preserve">prioritási sorrendben halad</w:t>
      </w:r>
      <w:r>
        <w:rPr>
          <w:rFonts w:cstheme="minorHAnsi"/>
          <w:sz w:val="24"/>
          <w:szCs w:val="24"/>
        </w:rPr>
        <w:t xml:space="preserve">: mindig a legsúlyosabb, azonnali beavatkozást igénylő problémák kezelése az elsődleges cél – függetlenül attól, hogy például vérzik-e a sérült, vagy van-e törése.</w:t>
      </w:r>
    </w:p>
    <w:tbl>
      <w:tblPr>
        <w:tblW w:type="auto" w:w="0"/>
        <w:tblLayout w:type="fixed"/>
        <w:tblLook w:firstColumn="1" w:firstRow="1" w:lastColumn="0" w:lastRow="0" w:noHBand="0" w:noVBand="1" w:val="04A0"/>
        <w:tblStyle xmlns:a="http://schemas.openxmlformats.org/drawingml/2006/main" xmlns:pic="http://schemas.openxmlformats.org/drawingml/2006/picture" w:val="Rcsostblzat"/>
        <w:tblW xmlns:a="http://schemas.openxmlformats.org/drawingml/2006/main" xmlns:pic="http://schemas.openxmlformats.org/drawingml/2006/picture" w:w="9582" w:type="dxa"/>
        <w:tblLayout xmlns:a="http://schemas.openxmlformats.org/drawingml/2006/main" xmlns:pic="http://schemas.openxmlformats.org/drawingml/2006/picture" w:type="fixed"/>
      </w:tblPr>
      <w:tblGrid>
        <w:gridCol w:w="907"/>
        <w:gridCol w:w="2268"/>
        <w:gridCol w:w="6407"/>
      </w:tblGrid>
      <w:tr>
        <w:trPr>
          <w:tblHeader xmlns:a="http://schemas.openxmlformats.org/drawingml/2006/main" xmlns:pic="http://schemas.openxmlformats.org/drawingml/2006/picture"/>
          <w:cantSplit xmlns:a="http://schemas.openxmlformats.org/drawingml/2006/main" xmlns:pic="http://schemas.openxmlformats.org/drawingml/2006/picture"/>
        </w:trPr>
        <w:tc>
          <w:tcPr>
            <w:tcW w:type="dxa" w:w="907"/>
            <w:shd xmlns:a="http://schemas.openxmlformats.org/drawingml/2006/main" xmlns:pic="http://schemas.openxmlformats.org/drawingml/2006/picture" w:val="clear" w:color="auto" w:fill="D9D9D9"/>
          </w:tcPr>
          <w:p>
            <w:r/>
            <w:r>
              <w:rPr>
                <w:b/>
                <w:sz w:val="22"/>
              </w:rPr>
              <w:t>Betű</w:t>
            </w:r>
          </w:p>
        </w:tc>
        <w:tc>
          <w:tcPr>
            <w:tcW w:type="dxa" w:w="2268"/>
            <w:shd xmlns:a="http://schemas.openxmlformats.org/drawingml/2006/main" xmlns:pic="http://schemas.openxmlformats.org/drawingml/2006/picture" w:val="clear" w:color="auto" w:fill="D9D9D9"/>
          </w:tcPr>
          <w:p>
            <w:r/>
            <w:r>
              <w:rPr>
                <w:b/>
                <w:sz w:val="22"/>
              </w:rPr>
              <w:t>Angolul</w:t>
            </w:r>
          </w:p>
        </w:tc>
        <w:tc>
          <w:tcPr>
            <w:tcW w:type="dxa" w:w="6406"/>
            <w:shd xmlns:a="http://schemas.openxmlformats.org/drawingml/2006/main" xmlns:pic="http://schemas.openxmlformats.org/drawingml/2006/picture" w:val="clear" w:color="auto" w:fill="D9D9D9"/>
          </w:tcPr>
          <w:p>
            <w:r/>
            <w:r>
              <w:rPr>
                <w:b/>
                <w:sz w:val="22"/>
              </w:rPr>
              <w:t>Magyarul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2"/>
              </w:rPr>
              <w:t>A</w:t>
            </w:r>
          </w:p>
        </w:tc>
        <w:tc>
          <w:tcPr>
            <w:tcW w:type="dxa" w:w="2268"/>
          </w:tcPr>
          <w:p>
            <w:r/>
            <w:r>
              <w:rPr>
                <w:sz w:val="22"/>
              </w:rPr>
              <w:t>Airway</w:t>
            </w:r>
          </w:p>
        </w:tc>
        <w:tc>
          <w:tcPr>
            <w:tcW w:type="dxa" w:w="6406"/>
          </w:tcPr>
          <w:p>
            <w:r/>
            <w:r>
              <w:rPr>
                <w:sz w:val="22"/>
              </w:rPr>
              <w:t>Légutak ellenőrzése, biztosítása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2"/>
              </w:rPr>
              <w:t>B</w:t>
            </w:r>
          </w:p>
        </w:tc>
        <w:tc>
          <w:tcPr>
            <w:tcW w:type="dxa" w:w="2268"/>
          </w:tcPr>
          <w:p>
            <w:r/>
            <w:r>
              <w:rPr>
                <w:sz w:val="22"/>
              </w:rPr>
              <w:t>Breathing</w:t>
            </w:r>
          </w:p>
        </w:tc>
        <w:tc>
          <w:tcPr>
            <w:tcW w:type="dxa" w:w="6406"/>
          </w:tcPr>
          <w:p>
            <w:r/>
            <w:r>
              <w:rPr>
                <w:sz w:val="22"/>
              </w:rPr>
              <w:t>Légzés vizsgálata, szükség esetén segítése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2"/>
              </w:rPr>
              <w:t>C</w:t>
            </w:r>
          </w:p>
        </w:tc>
        <w:tc>
          <w:tcPr>
            <w:tcW w:type="dxa" w:w="2268"/>
          </w:tcPr>
          <w:p>
            <w:r/>
            <w:r>
              <w:rPr>
                <w:sz w:val="22"/>
              </w:rPr>
              <w:t>Circulation</w:t>
            </w:r>
          </w:p>
        </w:tc>
        <w:tc>
          <w:tcPr>
            <w:tcW w:type="dxa" w:w="6406"/>
          </w:tcPr>
          <w:p>
            <w:r/>
            <w:r>
              <w:rPr>
                <w:sz w:val="22"/>
              </w:rPr>
              <w:t>Keringés, pulzus, vérzés ellenőrzése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2"/>
              </w:rPr>
              <w:t>D</w:t>
            </w:r>
          </w:p>
        </w:tc>
        <w:tc>
          <w:tcPr>
            <w:tcW w:type="dxa" w:w="2268"/>
          </w:tcPr>
          <w:p>
            <w:r/>
            <w:r>
              <w:rPr>
                <w:sz w:val="22"/>
              </w:rPr>
              <w:t>Disability</w:t>
            </w:r>
          </w:p>
        </w:tc>
        <w:tc>
          <w:tcPr>
            <w:tcW w:type="dxa" w:w="6406"/>
          </w:tcPr>
          <w:p>
            <w:r/>
            <w:r>
              <w:rPr>
                <w:sz w:val="22"/>
              </w:rPr>
              <w:t>Tudatállapot, neurológiai állapot felmérése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2"/>
              </w:rPr>
              <w:t>E</w:t>
            </w:r>
          </w:p>
        </w:tc>
        <w:tc>
          <w:tcPr>
            <w:tcW w:type="dxa" w:w="2268"/>
          </w:tcPr>
          <w:p>
            <w:r/>
            <w:r>
              <w:rPr>
                <w:sz w:val="22"/>
              </w:rPr>
              <w:t>Exposure</w:t>
            </w:r>
          </w:p>
        </w:tc>
        <w:tc>
          <w:tcPr>
            <w:tcW w:type="dxa" w:w="6406"/>
          </w:tcPr>
          <w:p>
            <w:r/>
            <w:r>
              <w:rPr>
                <w:sz w:val="22"/>
              </w:rPr>
              <w:t>Teljes test átvizsgálása, rejtett sérülések keresése</w:t>
            </w:r>
          </w:p>
        </w:tc>
      </w:tr>
    </w:tbl>
    <w:p/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Ez a séma minden súlyos állapotú beteg vagy sérült első ellátásánál használható. A szisztematikus vizsgálat biztosítja, hogy semmi létfontosságú ne maradjon észrevétlen, és a beavatkozó akkor is tudjon higgadtan cselekedni, ha a helyzet kaotikus vagy stresszes.</w:t>
      </w:r>
      <w:r>
        <w:rPr>
          <w:noProof/>
        </w:rPr>
        <w:drawing>
          <wp:anchor distT="0" distB="0" distL="114300" distR="114300" simplePos="0" relativeHeight="251658244" behindDoc="0" locked="0" layoutInCell="1" allowOverlap="1">
            <wp:simplePos x="0" y="0"/>
            <wp:positionH relativeFrom="margin">
              <wp:align>left</wp:align>
            </wp:positionH>
            <wp:positionV relativeFrom="page">
              <wp:posOffset>6950000</wp:posOffset>
            </wp:positionV>
            <wp:extent cx="1900000" cy="1791700"/>
            <wp:effectExtent l="0" t="0" r="0" b="0"/>
            <wp:wrapNone/>
            <wp:docPr id="900004" name="Kep 9000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04" name="Kep 900004"/>
                    <pic:cNvPicPr/>
                  </pic:nvPicPr>
                  <pic:blipFill>
                    <a:blip r:embed="rId10" cstate="print">
                      <a:alphaModFix amt="70000"/>
                    </a:blip>
                    <a:stretch>
                      <a:fillRect/>
                    </a:stretch>
                  </pic:blipFill>
                  <pic:spPr>
                    <a:xfrm rot="20500000">
                      <a:off x="0" y="0"/>
                      <a:ext cx="1900000" cy="1791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3. AZ ABCDE-SÉMA RÉSZLETESEN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3.1. A – Airway (Légutak vizsgálata)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A sérültet fekvő pozícióba helyezzük, majd ellenőrizzük, hogy a légutak szabadon átjárhatók-e.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óvatosan hátrahajtjuk a sérült fejét a homlokánál fogva, miközben megemeljük az állát;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megvizsgáljuk a szájüreget, hogy van-e benne idegen test vagy folyadék;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tárgy esetén:</w:t>
      </w:r>
      <w:r>
        <w:rPr>
          <w:rFonts w:cstheme="minorHAnsi"/>
          <w:sz w:val="24"/>
          <w:szCs w:val="24"/>
        </w:rPr>
        <w:t xml:space="preserve"> steril orvosi csipesszel óvatosan eltávolítjuk;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folyadék esetén:</w:t>
      </w:r>
      <w:r>
        <w:rPr>
          <w:rFonts w:cstheme="minorHAnsi"/>
          <w:sz w:val="24"/>
          <w:szCs w:val="24"/>
        </w:rPr>
        <w:t xml:space="preserve"> motoros szívóval kiszívjuk azt a szájüregből;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cél: biztosítani, hogy a beteg akadálytalanul tudjon levegőt venni.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3.2. B – Breathing (Légzés vizsgálata)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megfigyeljük, hogy 10 másodperc alatt van-e legalább 2–4 légvétel;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ha nincs megfelelő légzés: </w:t>
      </w:r>
      <w:r>
        <w:rPr>
          <w:rFonts w:cstheme="minorHAnsi"/>
          <w:b/>
          <w:bCs/>
          <w:sz w:val="24"/>
          <w:szCs w:val="24"/>
        </w:rPr>
        <w:t xml:space="preserve">intubálásra</w:t>
      </w:r>
      <w:r>
        <w:rPr>
          <w:rFonts w:cstheme="minorHAnsi"/>
          <w:sz w:val="24"/>
          <w:szCs w:val="24"/>
        </w:rPr>
        <w:t xml:space="preserve"> van szükség – speciális tubust helyezünk a beteg orrába vagy szájába, hogy megakadályozzuk a garatfal összeesését;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megfigyeljük, hogy a mellkas mindkét oldala egyszerre és egyformán emelkedik-e;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ha az egyik oldal nem emelkedik: ez </w:t>
      </w:r>
      <w:r>
        <w:rPr>
          <w:rFonts w:cstheme="minorHAnsi"/>
          <w:b/>
          <w:bCs/>
          <w:sz w:val="24"/>
          <w:szCs w:val="24"/>
        </w:rPr>
        <w:t xml:space="preserve">légmellre (PTX)</w:t>
      </w:r>
      <w:r>
        <w:rPr>
          <w:rFonts w:cstheme="minorHAnsi"/>
          <w:sz w:val="24"/>
          <w:szCs w:val="24"/>
        </w:rPr>
        <w:t xml:space="preserve"> utalhat, amikor levegő kerül a tüdő és a mellhártya közé;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PTX esetén:</w:t>
      </w:r>
      <w:r>
        <w:rPr>
          <w:rFonts w:cstheme="minorHAnsi"/>
          <w:sz w:val="24"/>
          <w:szCs w:val="24"/>
        </w:rPr>
        <w:t xml:space="preserve"> fertőtlenítés után steril tűvel leengedést végzünk a megfelelő ponton. Megkülönböztetünk zárt, nyílt és feszülő PTX-et.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3.3. C – Circulation (Keringés)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A keringési állapot felmérése kritikus a súlyos vérzés vagy a sokk jeleinek felismeréséhez.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ellenőrizzük a pulzust a nyakon és a csuklón;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figyeljük a bőr színét, hőmérsékletét és tapintását – halvány, hűvös, nyirkos bőr sokkra utalhat;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felkutatjuk az esetleges külső, erőteljes vérzéseket, és azonnal ellátjuk azokat nyomókötéssel;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sokk gyanúja esetén:</w:t>
      </w:r>
      <w:r>
        <w:rPr>
          <w:rFonts w:cstheme="minorHAnsi"/>
          <w:sz w:val="24"/>
          <w:szCs w:val="24"/>
        </w:rPr>
        <w:t xml:space="preserve"> a sérültet fektetjük, lábait enyhén megemeljük, betakarjuk.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3.4. D – Disability (Neurológiai állapot)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A sérült tudatállapotának gyors felmérése:</w:t>
      </w:r>
      <w:r>
        <w:rPr>
          <w:noProof/>
        </w:rPr>
        <w:drawing>
          <wp:anchor distT="0" distB="0" distL="114300" distR="114300" simplePos="0" relativeHeight="251658245" behindDoc="0" locked="0" layoutInCell="1" allowOverlap="1">
            <wp:simplePos x="0" y="0"/>
            <wp:positionH relativeFrom="margin">
              <wp:align>right</wp:align>
            </wp:positionH>
            <wp:positionV relativeFrom="page">
              <wp:posOffset>4300000</wp:posOffset>
            </wp:positionV>
            <wp:extent cx="2150000" cy="2027300"/>
            <wp:effectExtent l="0" t="0" r="0" b="0"/>
            <wp:wrapNone/>
            <wp:docPr id="900005" name="Kep 9000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05" name="Kep 900005"/>
                    <pic:cNvPicPr/>
                  </pic:nvPicPr>
                  <pic:blipFill>
                    <a:blip r:embed="rId10" cstate="print">
                      <a:alphaModFix amt="70000"/>
                    </a:blip>
                    <a:stretch>
                      <a:fillRect/>
                    </a:stretch>
                  </pic:blipFill>
                  <pic:spPr>
                    <a:xfrm rot="1500000">
                      <a:off x="0" y="0"/>
                      <a:ext cx="2150000" cy="202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felismeri-e, hogy hol van?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reagál-e hangra vagy érintésre?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tudja-e mozgatni a végtagjait?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tudatvesztés, görcsroham vagy bénulás esetén: </w:t>
      </w:r>
      <w:r>
        <w:rPr>
          <w:rFonts w:cstheme="minorHAnsi"/>
          <w:b/>
          <w:bCs/>
          <w:sz w:val="24"/>
          <w:szCs w:val="24"/>
        </w:rPr>
        <w:t xml:space="preserve">stabil oldalfekvés</w:t>
      </w:r>
      <w:r>
        <w:rPr>
          <w:rFonts w:cstheme="minorHAnsi"/>
          <w:sz w:val="24"/>
          <w:szCs w:val="24"/>
        </w:rPr>
        <w:t xml:space="preserve"> és sürgős orvosi ellátás szükséges.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3.5. E – Exposure (Egész test vizsgálata)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Miután az életfunkciók stabilak – és </w:t>
      </w:r>
      <w:r>
        <w:rPr>
          <w:rFonts w:cstheme="minorHAnsi"/>
          <w:b/>
          <w:bCs/>
          <w:sz w:val="24"/>
          <w:szCs w:val="24"/>
        </w:rPr>
        <w:t xml:space="preserve">csak ezután</w:t>
      </w:r>
      <w:r>
        <w:rPr>
          <w:rFonts w:cstheme="minorHAnsi"/>
          <w:sz w:val="24"/>
          <w:szCs w:val="24"/>
        </w:rPr>
        <w:t xml:space="preserve"> –, a sérült teljes testét átvizsgáljuk.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óvatosan áttapogatjuk a nyaki és a gerincoszlopot, deformitásokat keresve;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ha bármilyen rendellenességet tapasztalunk: </w:t>
      </w:r>
      <w:r>
        <w:rPr>
          <w:rFonts w:cstheme="minorHAnsi"/>
          <w:b/>
          <w:bCs/>
          <w:sz w:val="24"/>
          <w:szCs w:val="24"/>
        </w:rPr>
        <w:t xml:space="preserve">NE MOZDÍTSUK MEG A SÉRÜLTET</w:t>
      </w:r>
      <w:r>
        <w:rPr>
          <w:rFonts w:cstheme="minorHAnsi"/>
          <w:sz w:val="24"/>
          <w:szCs w:val="24"/>
        </w:rPr>
        <w:t xml:space="preserve">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megvizsgáljuk a hasfalat: kemény, duzzadt vagy lilás has esetén belső vérzés gyanúja áll fenn – ilyenkor </w:t>
      </w:r>
      <w:r>
        <w:rPr>
          <w:rFonts w:cstheme="minorHAnsi"/>
          <w:b/>
          <w:bCs/>
          <w:sz w:val="24"/>
          <w:szCs w:val="24"/>
        </w:rPr>
        <w:t xml:space="preserve">Exacyl</w:t>
      </w:r>
      <w:r>
        <w:rPr>
          <w:rFonts w:cstheme="minorHAnsi"/>
          <w:sz w:val="24"/>
          <w:szCs w:val="24"/>
        </w:rPr>
        <w:t xml:space="preserve"> intravénás adása a vérzés csillapítására;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levetkőztetjük vagy felhajtjuk a ruhát, hogy a rejtett sérüléseket is észrevegyük;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vigyázni kell a kihűlésre</w:t>
      </w:r>
      <w:r>
        <w:rPr>
          <w:rFonts w:cstheme="minorHAnsi"/>
          <w:sz w:val="24"/>
          <w:szCs w:val="24"/>
        </w:rPr>
        <w:t xml:space="preserve"> – vizsgálat után azonnal be kell takarni a sérültet.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4. VÉRZÉSEK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A vérzések ellátása az egyik legfontosabb elsősegélynyújtási feladat, mivel a gyors vérveszteség életveszélyes állapothoz vezethet. A vérzés típusától függően eltérő módon kell beavatkozni.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4.1. Artériás vérzés (ütőeres vérzés)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b/>
          <w:bCs/>
          <w:sz w:val="24"/>
          <w:szCs w:val="24"/>
        </w:rPr>
        <w:t xml:space="preserve">Jellemzői: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vér </w:t>
      </w:r>
      <w:r>
        <w:rPr>
          <w:rFonts w:cstheme="minorHAnsi"/>
          <w:b/>
          <w:bCs/>
          <w:sz w:val="24"/>
          <w:szCs w:val="24"/>
        </w:rPr>
        <w:t xml:space="preserve">élénkpiros</w:t>
      </w:r>
      <w:r>
        <w:rPr>
          <w:rFonts w:cstheme="minorHAnsi"/>
          <w:sz w:val="24"/>
          <w:szCs w:val="24"/>
        </w:rPr>
        <w:t xml:space="preserve">, mivel oxigénben gazdag;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vérzés erősen </w:t>
      </w:r>
      <w:r>
        <w:rPr>
          <w:rFonts w:cstheme="minorHAnsi"/>
          <w:b/>
          <w:bCs/>
          <w:sz w:val="24"/>
          <w:szCs w:val="24"/>
        </w:rPr>
        <w:t xml:space="preserve">pulzálva</w:t>
      </w:r>
      <w:r>
        <w:rPr>
          <w:rFonts w:cstheme="minorHAnsi"/>
          <w:sz w:val="24"/>
          <w:szCs w:val="24"/>
        </w:rPr>
        <w:t xml:space="preserve"> tör elő a sebből, a szívverés ütemére;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nagy nyomású, gyors vérveszteség jellemzi, </w:t>
      </w:r>
      <w:r>
        <w:rPr>
          <w:rFonts w:cstheme="minorHAnsi"/>
          <w:b/>
          <w:bCs/>
          <w:sz w:val="24"/>
          <w:szCs w:val="24"/>
        </w:rPr>
        <w:t xml:space="preserve">azonnali beavatkozást</w:t>
      </w:r>
      <w:r>
        <w:rPr>
          <w:rFonts w:cstheme="minorHAnsi"/>
          <w:sz w:val="24"/>
          <w:szCs w:val="24"/>
        </w:rPr>
        <w:t xml:space="preserve"> igényel.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b/>
          <w:bCs/>
          <w:sz w:val="24"/>
          <w:szCs w:val="24"/>
        </w:rPr>
        <w:t xml:space="preserve">Ellátás: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azonnal artériás nyomókötést kell alkalmazni;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sebet </w:t>
      </w:r>
      <w:r>
        <w:rPr>
          <w:rFonts w:cstheme="minorHAnsi"/>
          <w:b/>
          <w:bCs/>
          <w:sz w:val="24"/>
          <w:szCs w:val="24"/>
        </w:rPr>
        <w:t xml:space="preserve">tamponálni</w:t>
      </w:r>
      <w:r>
        <w:rPr>
          <w:rFonts w:cstheme="minorHAnsi"/>
          <w:sz w:val="24"/>
          <w:szCs w:val="24"/>
        </w:rPr>
        <w:t xml:space="preserve"> kell: steril gézcsíkot vagy bőrtokot kell a nyílásba helyezni;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ezután újabb gézhengert helyezünk rá, majd szorosan steril pólyával rögzítjük;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amíg a kötést elkészítjük, </w:t>
      </w:r>
      <w:r>
        <w:rPr>
          <w:rFonts w:cstheme="minorHAnsi"/>
          <w:b/>
          <w:bCs/>
          <w:sz w:val="24"/>
          <w:szCs w:val="24"/>
        </w:rPr>
        <w:t xml:space="preserve">nyomáspontot</w:t>
      </w:r>
      <w:r>
        <w:rPr>
          <w:rFonts w:cstheme="minorHAnsi"/>
          <w:sz w:val="24"/>
          <w:szCs w:val="24"/>
        </w:rPr>
        <w:t xml:space="preserve"> alkalmazunk – például comb- vagy karartéria leszorítása –, vagy kézzel összeszorítjuk a vérző területet.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4.2. Vénás vérzés (gyűjtőeres vérzés)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b/>
          <w:bCs/>
          <w:sz w:val="24"/>
          <w:szCs w:val="24"/>
        </w:rPr>
        <w:t xml:space="preserve">Jellemzői: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vér </w:t>
      </w:r>
      <w:r>
        <w:rPr>
          <w:rFonts w:cstheme="minorHAnsi"/>
          <w:b/>
          <w:bCs/>
          <w:sz w:val="24"/>
          <w:szCs w:val="24"/>
        </w:rPr>
        <w:t xml:space="preserve">sötétvörös</w:t>
      </w:r>
      <w:r>
        <w:rPr>
          <w:rFonts w:cstheme="minorHAnsi"/>
          <w:sz w:val="24"/>
          <w:szCs w:val="24"/>
        </w:rPr>
        <w:t xml:space="preserve">, mert oxigénszegény;</w:t>
      </w:r>
      <w:r>
        <w:rPr>
          <w:noProof/>
        </w:rPr>
        <w:drawing>
          <wp:anchor distT="0" distB="0" distL="114300" distR="114300" simplePos="0" relativeHeight="251658246" behindDoc="0" locked="0" layoutInCell="1" allowOverlap="1">
            <wp:simplePos x="0" y="0"/>
            <wp:positionH relativeFrom="margin">
              <wp:align>left</wp:align>
            </wp:positionH>
            <wp:positionV relativeFrom="page">
              <wp:posOffset>6750000</wp:posOffset>
            </wp:positionV>
            <wp:extent cx="1750000" cy="1650000"/>
            <wp:effectExtent l="0" t="0" r="0" b="0"/>
            <wp:wrapNone/>
            <wp:docPr id="900006" name="Kep 9000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06" name="Kep 900006"/>
                    <pic:cNvPicPr/>
                  </pic:nvPicPr>
                  <pic:blipFill>
                    <a:blip r:embed="rId10" cstate="print">
                      <a:alphaModFix amt="70000"/>
                    </a:blip>
                    <a:stretch>
                      <a:fillRect/>
                    </a:stretch>
                  </pic:blipFill>
                  <pic:spPr>
                    <a:xfrm rot="21000000">
                      <a:off x="0" y="0"/>
                      <a:ext cx="1750000" cy="165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vérzés folyamatosan csordogál, nem lüktető jellegű;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bár lassabb, mint az artériás, hosszabb idő alatt nagy vérveszteséget okozhat.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b/>
          <w:bCs/>
          <w:sz w:val="24"/>
          <w:szCs w:val="24"/>
        </w:rPr>
        <w:t xml:space="preserve">Ellátás: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vénás nyomókötést alkalmazunk;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sebre steril gézlapot helyezünk, majd erre gézhengert teszünk;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ezt követően szorosan körbetekerjük steril pólyával;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fontos:</w:t>
      </w:r>
      <w:r>
        <w:rPr>
          <w:rFonts w:cstheme="minorHAnsi"/>
          <w:sz w:val="24"/>
          <w:szCs w:val="24"/>
        </w:rPr>
        <w:t xml:space="preserve"> ne cseréljük le az átázott kötést, hanem újabb réteget tegyünk rá – ezzel biztosítjuk a fertőzésvédelmet és a nyomást.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4.3. Kapilláris vérzés (hajszáleres vérzés)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b/>
          <w:bCs/>
          <w:sz w:val="24"/>
          <w:szCs w:val="24"/>
        </w:rPr>
        <w:t xml:space="preserve">Jellemzői: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leggyakoribb vérzésforma, jellemzően horzsolásoknál és apró vágásoknál fordul elő;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vér egyenletesen szivárog, kis mennyiségben;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nem életveszélyes, könnyen kezelhető.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b/>
          <w:bCs/>
          <w:sz w:val="24"/>
          <w:szCs w:val="24"/>
        </w:rPr>
        <w:t xml:space="preserve">Ellátás: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sebet alaposan megtisztítjuk, eltávolítva minden szennyeződést;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seb környékét fertőtlenítjük;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ezután steril fedőkötést helyezünk rá.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5. KÖTÉSEK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5.1. Fedőkötés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Valamennyi nyílt sérülés és égés esetén nagy a fertőzésveszély. Ennek megelőzése érdekében fertőtlenítőt szükséges használni, illetve fedőkötést készíteni. A fedőkötés készítéséhez alapesetben egy </w:t>
      </w:r>
      <w:r>
        <w:rPr>
          <w:rFonts w:cstheme="minorHAnsi"/>
          <w:b/>
          <w:bCs/>
          <w:sz w:val="24"/>
          <w:szCs w:val="24"/>
        </w:rPr>
        <w:t xml:space="preserve">sebfedőre</w:t>
      </w:r>
      <w:r>
        <w:rPr>
          <w:rFonts w:cstheme="minorHAnsi"/>
          <w:sz w:val="24"/>
          <w:szCs w:val="24"/>
        </w:rPr>
        <w:t xml:space="preserve"> (például mull-lap) és egy </w:t>
      </w:r>
      <w:r>
        <w:rPr>
          <w:rFonts w:cstheme="minorHAnsi"/>
          <w:b/>
          <w:bCs/>
          <w:sz w:val="24"/>
          <w:szCs w:val="24"/>
        </w:rPr>
        <w:t xml:space="preserve">rögzítőre</w:t>
      </w:r>
      <w:r>
        <w:rPr>
          <w:rFonts w:cstheme="minorHAnsi"/>
          <w:sz w:val="24"/>
          <w:szCs w:val="24"/>
        </w:rPr>
        <w:t xml:space="preserve"> (például mullpólya) van szükség.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b/>
          <w:bCs/>
          <w:sz w:val="24"/>
          <w:szCs w:val="24"/>
        </w:rPr>
        <w:t xml:space="preserve">Alkalmazandó például:</w:t>
      </w:r>
      <w:r>
        <w:rPr>
          <w:rFonts w:cstheme="minorHAnsi"/>
          <w:sz w:val="24"/>
          <w:szCs w:val="24"/>
        </w:rPr>
        <w:t xml:space="preserve"> horzsolások, kisebb vérzések esetén.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5.2. Nyomókötés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Erősebb vérzések ellátására alkalmazandó kötéstípus. </w:t>
      </w:r>
      <w:r>
        <w:rPr>
          <w:rFonts w:cstheme="minorHAnsi"/>
          <w:b/>
          <w:bCs/>
          <w:sz w:val="24"/>
          <w:szCs w:val="24"/>
        </w:rPr>
        <w:t xml:space="preserve">Alkalmazható például:</w:t>
      </w:r>
      <w:r>
        <w:rPr>
          <w:rFonts w:cstheme="minorHAnsi"/>
          <w:sz w:val="24"/>
          <w:szCs w:val="24"/>
        </w:rPr>
        <w:t xml:space="preserve"> vénás vérzés esetén.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5.3. Szorítókötés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A vénák elszorítása a kivérzés folyamatát segíti elő, vérzéscsillapító hatása csekély. </w:t>
      </w:r>
      <w:r>
        <w:rPr>
          <w:rFonts w:cstheme="minorHAnsi"/>
          <w:b/>
          <w:bCs/>
          <w:sz w:val="24"/>
          <w:szCs w:val="24"/>
        </w:rPr>
        <w:t xml:space="preserve">Ha lehet, mellőzzük az alkalmazását.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5.4. Általános szabályok</w:t>
      </w:r>
      <w:r>
        <w:rPr>
          <w:noProof/>
        </w:rPr>
        <w:drawing>
          <wp:anchor distT="0" distB="0" distL="114300" distR="114300" simplePos="0" relativeHeight="251658247" behindDoc="0" locked="0" layoutInCell="1" allowOverlap="1">
            <wp:simplePos x="0" y="0"/>
            <wp:positionH relativeFrom="margin">
              <wp:align>right</wp:align>
            </wp:positionH>
            <wp:positionV relativeFrom="page">
              <wp:posOffset>6250000</wp:posOffset>
            </wp:positionV>
            <wp:extent cx="2067460" cy="1949183"/>
            <wp:effectExtent l="0" t="0" r="0" b="0"/>
            <wp:wrapNone/>
            <wp:docPr id="900007" name="Kep 9000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07" name="Kep 900007"/>
                    <pic:cNvPicPr/>
                  </pic:nvPicPr>
                  <pic:blipFill>
                    <a:blip r:embed="rId10" cstate="print">
                      <a:alphaModFix amt="70000"/>
                    </a:blip>
                    <a:stretch>
                      <a:fillRect/>
                    </a:stretch>
                  </pic:blipFill>
                  <pic:spPr>
                    <a:xfrm rot="994704">
                      <a:off x="0" y="0"/>
                      <a:ext cx="2067460" cy="19491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kötést mindig </w:t>
      </w:r>
      <w:r>
        <w:rPr>
          <w:rFonts w:cstheme="minorHAnsi"/>
          <w:b/>
          <w:bCs/>
          <w:sz w:val="24"/>
          <w:szCs w:val="24"/>
        </w:rPr>
        <w:t xml:space="preserve">steril anyaggal</w:t>
      </w:r>
      <w:r>
        <w:rPr>
          <w:rFonts w:cstheme="minorHAnsi"/>
          <w:sz w:val="24"/>
          <w:szCs w:val="24"/>
        </w:rPr>
        <w:t xml:space="preserve"> készítjük;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az átázott kötést nem cseréljük, hanem újabb réteget teszünk rá;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kötés alatt a végtag ujjainak színét és hőmérsékletét ellenőrizni kell – elkékülés vagy hidegség esetén a kötés túl szoros;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kötés felhelyezésének időpontját fel kell jegyezni és az átadáskor közölni kell.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6. NÉHÁNY FONTOSABB GYÓGYSZER</w:t>
      </w:r>
    </w:p>
    <w:tbl>
      <w:tblPr>
        <w:tblW w:type="auto" w:w="0"/>
        <w:tblLayout w:type="fixed"/>
        <w:tblLook w:firstColumn="1" w:firstRow="1" w:lastColumn="0" w:lastRow="0" w:noHBand="0" w:noVBand="1" w:val="04A0"/>
        <w:tblStyle xmlns:a="http://schemas.openxmlformats.org/drawingml/2006/main" xmlns:pic="http://schemas.openxmlformats.org/drawingml/2006/picture" w:val="Rcsostblzat"/>
        <w:tblW xmlns:a="http://schemas.openxmlformats.org/drawingml/2006/main" xmlns:pic="http://schemas.openxmlformats.org/drawingml/2006/picture" w:w="9582" w:type="dxa"/>
        <w:tblLayout xmlns:a="http://schemas.openxmlformats.org/drawingml/2006/main" xmlns:pic="http://schemas.openxmlformats.org/drawingml/2006/picture" w:type="fixed"/>
      </w:tblPr>
      <w:tblGrid>
        <w:gridCol w:w="2268"/>
        <w:gridCol w:w="3628"/>
        <w:gridCol w:w="3685"/>
      </w:tblGrid>
      <w:tr>
        <w:trPr>
          <w:tblHeader xmlns:a="http://schemas.openxmlformats.org/drawingml/2006/main" xmlns:pic="http://schemas.openxmlformats.org/drawingml/2006/picture"/>
          <w:cantSplit xmlns:a="http://schemas.openxmlformats.org/drawingml/2006/main" xmlns:pic="http://schemas.openxmlformats.org/drawingml/2006/picture"/>
        </w:trPr>
        <w:tc>
          <w:tcPr>
            <w:tcW w:type="dxa" w:w="2268"/>
            <w:shd xmlns:a="http://schemas.openxmlformats.org/drawingml/2006/main" xmlns:pic="http://schemas.openxmlformats.org/drawingml/2006/picture" w:val="clear" w:color="auto" w:fill="D9D9D9"/>
          </w:tcPr>
          <w:p>
            <w:r/>
            <w:r>
              <w:rPr>
                <w:b/>
                <w:sz w:val="22"/>
              </w:rPr>
              <w:t>Név</w:t>
            </w:r>
          </w:p>
        </w:tc>
        <w:tc>
          <w:tcPr>
            <w:tcW w:type="dxa" w:w="3628"/>
            <w:shd xmlns:a="http://schemas.openxmlformats.org/drawingml/2006/main" xmlns:pic="http://schemas.openxmlformats.org/drawingml/2006/picture" w:val="clear" w:color="auto" w:fill="D9D9D9"/>
          </w:tcPr>
          <w:p>
            <w:r/>
            <w:r>
              <w:rPr>
                <w:b/>
                <w:sz w:val="22"/>
              </w:rPr>
              <w:t>Hatás</w:t>
            </w:r>
          </w:p>
        </w:tc>
        <w:tc>
          <w:tcPr>
            <w:tcW w:type="dxa" w:w="3685"/>
            <w:shd xmlns:a="http://schemas.openxmlformats.org/drawingml/2006/main" xmlns:pic="http://schemas.openxmlformats.org/drawingml/2006/picture" w:val="clear" w:color="auto" w:fill="D9D9D9"/>
          </w:tcPr>
          <w:p>
            <w:r/>
            <w:r>
              <w:rPr>
                <w:b/>
                <w:sz w:val="22"/>
              </w:rPr>
              <w:t>Alkalmazás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2"/>
              </w:rPr>
              <w:t>Tonogén (adrenalin)</w:t>
            </w:r>
          </w:p>
        </w:tc>
        <w:tc>
          <w:tcPr>
            <w:tcW w:type="dxa" w:w="3628"/>
          </w:tcPr>
          <w:p>
            <w:r/>
            <w:r>
              <w:rPr>
                <w:sz w:val="22"/>
              </w:rPr>
              <w:t>Vérnyomás-emelés, keringéstámogatás</w:t>
            </w:r>
          </w:p>
        </w:tc>
        <w:tc>
          <w:tcPr>
            <w:tcW w:type="dxa" w:w="3685"/>
          </w:tcPr>
          <w:p>
            <w:r/>
            <w:r>
              <w:rPr>
                <w:sz w:val="22"/>
              </w:rPr>
              <w:t>IV / injekció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2"/>
              </w:rPr>
              <w:t>Exacyl</w:t>
            </w:r>
          </w:p>
        </w:tc>
        <w:tc>
          <w:tcPr>
            <w:tcW w:type="dxa" w:w="3628"/>
          </w:tcPr>
          <w:p>
            <w:r/>
            <w:r>
              <w:rPr>
                <w:sz w:val="22"/>
              </w:rPr>
              <w:t>Véralvadás segítése, vérzéscsillapítás</w:t>
            </w:r>
          </w:p>
        </w:tc>
        <w:tc>
          <w:tcPr>
            <w:tcW w:type="dxa" w:w="3685"/>
          </w:tcPr>
          <w:p>
            <w:r/>
            <w:r>
              <w:rPr>
                <w:sz w:val="22"/>
              </w:rPr>
              <w:t>IV / injekció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2"/>
              </w:rPr>
              <w:t>Cordarone</w:t>
            </w:r>
          </w:p>
        </w:tc>
        <w:tc>
          <w:tcPr>
            <w:tcW w:type="dxa" w:w="3628"/>
          </w:tcPr>
          <w:p>
            <w:r/>
            <w:r>
              <w:rPr>
                <w:sz w:val="22"/>
              </w:rPr>
              <w:t>Szívritmuszavar kezelése</w:t>
            </w:r>
          </w:p>
        </w:tc>
        <w:tc>
          <w:tcPr>
            <w:tcW w:type="dxa" w:w="3685"/>
          </w:tcPr>
          <w:p>
            <w:r/>
            <w:r>
              <w:rPr>
                <w:sz w:val="22"/>
              </w:rPr>
              <w:t>IV (intravénás)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2"/>
              </w:rPr>
              <w:t>Calypsol</w:t>
            </w:r>
          </w:p>
        </w:tc>
        <w:tc>
          <w:tcPr>
            <w:tcW w:type="dxa" w:w="3628"/>
          </w:tcPr>
          <w:p>
            <w:r/>
            <w:r>
              <w:rPr>
                <w:sz w:val="22"/>
              </w:rPr>
              <w:t>Fájdalomcsillapítás / altatás</w:t>
            </w:r>
          </w:p>
        </w:tc>
        <w:tc>
          <w:tcPr>
            <w:tcW w:type="dxa" w:w="3685"/>
          </w:tcPr>
          <w:p>
            <w:r/>
            <w:r>
              <w:rPr>
                <w:sz w:val="22"/>
              </w:rPr>
              <w:t>Intramuscularisan (IM) – izomba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2"/>
              </w:rPr>
              <w:t>Fertőtlenítők</w:t>
            </w:r>
          </w:p>
        </w:tc>
        <w:tc>
          <w:tcPr>
            <w:tcW w:type="dxa" w:w="3628"/>
          </w:tcPr>
          <w:p>
            <w:r/>
            <w:r>
              <w:rPr>
                <w:sz w:val="22"/>
              </w:rPr>
              <w:t>Sebek tisztítása</w:t>
            </w:r>
          </w:p>
        </w:tc>
        <w:tc>
          <w:tcPr>
            <w:tcW w:type="dxa" w:w="3685"/>
          </w:tcPr>
          <w:p>
            <w:r/>
            <w:r>
              <w:rPr>
                <w:sz w:val="22"/>
              </w:rPr>
              <w:t>Külső használatra</w:t>
            </w:r>
          </w:p>
        </w:tc>
      </w:tr>
    </w:tbl>
    <w:p/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6.1. Alkalmazási alapelvek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IV = intravénás</w:t>
      </w:r>
      <w:r>
        <w:rPr>
          <w:rFonts w:cstheme="minorHAnsi"/>
          <w:sz w:val="24"/>
          <w:szCs w:val="24"/>
        </w:rPr>
        <w:t xml:space="preserve"> – vénába adott készítmény, gyors hatás;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IM = intramuscularis</w:t>
      </w:r>
      <w:r>
        <w:rPr>
          <w:rFonts w:cstheme="minorHAnsi"/>
          <w:sz w:val="24"/>
          <w:szCs w:val="24"/>
        </w:rPr>
        <w:t xml:space="preserve"> – izomba adott készítmény, lassabb, elnyújtottabb hatás;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gyógyszert kizárólag az adhat, aki erre kiképzést kapott;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minden beadott készítményt, mennyiséget és időpontot </w:t>
      </w:r>
      <w:r>
        <w:rPr>
          <w:rFonts w:cstheme="minorHAnsi"/>
          <w:b/>
          <w:bCs/>
          <w:sz w:val="24"/>
          <w:szCs w:val="24"/>
        </w:rPr>
        <w:t xml:space="preserve">rögzíteni kell</w:t>
      </w:r>
      <w:r>
        <w:rPr>
          <w:rFonts w:cstheme="minorHAnsi"/>
          <w:sz w:val="24"/>
          <w:szCs w:val="24"/>
        </w:rPr>
        <w:t xml:space="preserve"> és átadáskor közölni kell az EMS-szel;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ismeretlen eredetű rosszullétnél a beavatkozás előtt mindig meg kell kísérelni információt szerezni: van-e ismert betegsége, allergiája, szed-e gyógyszert.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b/>
          <w:bCs/>
          <w:u w:val="single"/>
          <w:sz w:val="24"/>
          <w:szCs w:val="24"/>
        </w:rPr>
        <w:t xml:space="preserve">Fontos</w:t>
      </w:r>
      <w:r>
        <w:rPr>
          <w:rFonts w:cstheme="minorHAnsi"/>
          <w:sz w:val="24"/>
          <w:szCs w:val="24"/>
        </w:rPr>
        <w:t xml:space="preserve">: a gyógyszeres beavatkozás nem helyettesíti az EMS értesítését. A testőr feladata a </w:t>
      </w:r>
      <w:r>
        <w:rPr>
          <w:rFonts w:cstheme="minorHAnsi"/>
          <w:b/>
          <w:bCs/>
          <w:sz w:val="24"/>
          <w:szCs w:val="24"/>
        </w:rPr>
        <w:t xml:space="preserve">stabilizálás az átadásig</w:t>
      </w:r>
      <w:r>
        <w:rPr>
          <w:rFonts w:cstheme="minorHAnsi"/>
          <w:sz w:val="24"/>
          <w:szCs w:val="24"/>
        </w:rPr>
        <w:t xml:space="preserve">, nem a gyógyítás.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7. LŐTT ÉS SZÚRT SEB</w:t>
      </w:r>
    </w:p>
    <w:tbl>
      <w:tblPr>
        <w:tblW w:type="auto" w:w="0"/>
        <w:tblLayout w:type="fixed"/>
        <w:tblLook w:firstColumn="1" w:firstRow="1" w:lastColumn="0" w:lastRow="0" w:noHBand="0" w:noVBand="1" w:val="04A0"/>
        <w:tblStyle xmlns:a="http://schemas.openxmlformats.org/drawingml/2006/main" xmlns:pic="http://schemas.openxmlformats.org/drawingml/2006/picture" w:val="Rcsostblzat"/>
        <w:tblW xmlns:a="http://schemas.openxmlformats.org/drawingml/2006/main" xmlns:pic="http://schemas.openxmlformats.org/drawingml/2006/picture" w:w="9582" w:type="dxa"/>
        <w:tblLayout xmlns:a="http://schemas.openxmlformats.org/drawingml/2006/main" xmlns:pic="http://schemas.openxmlformats.org/drawingml/2006/picture" w:type="fixed"/>
      </w:tblPr>
      <w:tblGrid>
        <w:gridCol w:w="2268"/>
        <w:gridCol w:w="7314"/>
      </w:tblGrid>
      <w:tr>
        <w:trPr>
          <w:tblHeader xmlns:a="http://schemas.openxmlformats.org/drawingml/2006/main" xmlns:pic="http://schemas.openxmlformats.org/drawingml/2006/picture"/>
          <w:cantSplit xmlns:a="http://schemas.openxmlformats.org/drawingml/2006/main" xmlns:pic="http://schemas.openxmlformats.org/drawingml/2006/picture"/>
        </w:trPr>
        <w:tc>
          <w:tcPr>
            <w:tcW w:type="dxa" w:w="2268"/>
            <w:shd xmlns:a="http://schemas.openxmlformats.org/drawingml/2006/main" xmlns:pic="http://schemas.openxmlformats.org/drawingml/2006/picture" w:val="clear" w:color="auto" w:fill="D9D9D9"/>
          </w:tcPr>
          <w:p>
            <w:r/>
            <w:r>
              <w:rPr>
                <w:b/>
                <w:sz w:val="22"/>
              </w:rPr>
              <w:t>Sebtípus</w:t>
            </w:r>
          </w:p>
        </w:tc>
        <w:tc>
          <w:tcPr>
            <w:tcW w:type="dxa" w:w="7313"/>
            <w:shd xmlns:a="http://schemas.openxmlformats.org/drawingml/2006/main" xmlns:pic="http://schemas.openxmlformats.org/drawingml/2006/picture" w:val="clear" w:color="auto" w:fill="D9D9D9"/>
          </w:tcPr>
          <w:p>
            <w:r/>
            <w:r>
              <w:rPr>
                <w:b/>
                <w:sz w:val="22"/>
              </w:rPr>
              <w:t>Ellátás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2"/>
              </w:rPr>
              <w:t>Szúrt seb</w:t>
            </w:r>
          </w:p>
        </w:tc>
        <w:tc>
          <w:tcPr>
            <w:tcW w:type="dxa" w:w="7313"/>
          </w:tcPr>
          <w:p>
            <w:r/>
            <w:r>
              <w:rPr>
                <w:sz w:val="22"/>
              </w:rPr>
              <w:t>Idegentestet **nem húzunk ki**! Steril fedés, szükség esetén vérzéscsillapítás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2"/>
              </w:rPr>
              <w:t>Lőtt seb</w:t>
            </w:r>
          </w:p>
        </w:tc>
        <w:tc>
          <w:tcPr>
            <w:tcW w:type="dxa" w:w="7313"/>
          </w:tcPr>
          <w:p>
            <w:r/>
            <w:r>
              <w:rPr>
                <w:sz w:val="22"/>
              </w:rPr>
              <w:t>A be- és kilépési nyílás lefedése steril kötéssel, szükség esetén vérzéscsillapítás</w:t>
            </w:r>
          </w:p>
        </w:tc>
      </w:tr>
    </w:tbl>
    <w:p/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7.1. Szúrt seb – részletesen</w:t>
      </w:r>
      <w:r>
        <w:rPr>
          <w:noProof/>
        </w:rPr>
        <w:drawing>
          <wp:anchor distT="0" distB="0" distL="114300" distR="114300" simplePos="0" relativeHeight="251658248" behindDoc="0" locked="0" layoutInCell="1" allowOverlap="1">
            <wp:simplePos x="0" y="0"/>
            <wp:positionH relativeFrom="margin">
              <wp:align>left</wp:align>
            </wp:positionH>
            <wp:positionV relativeFrom="page">
              <wp:posOffset>6950000</wp:posOffset>
            </wp:positionV>
            <wp:extent cx="1900000" cy="1791700"/>
            <wp:effectExtent l="0" t="0" r="0" b="0"/>
            <wp:wrapNone/>
            <wp:docPr id="900008" name="Kep 9000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08" name="Kep 900008"/>
                    <pic:cNvPicPr/>
                  </pic:nvPicPr>
                  <pic:blipFill>
                    <a:blip r:embed="rId10" cstate="print">
                      <a:alphaModFix amt="70000"/>
                    </a:blip>
                    <a:stretch>
                      <a:fillRect/>
                    </a:stretch>
                  </pic:blipFill>
                  <pic:spPr>
                    <a:xfrm rot="20500000">
                      <a:off x="0" y="0"/>
                      <a:ext cx="1900000" cy="1791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bennmaradt idegentest </w:t>
      </w:r>
      <w:r>
        <w:rPr>
          <w:rFonts w:cstheme="minorHAnsi"/>
          <w:b/>
          <w:bCs/>
          <w:sz w:val="24"/>
          <w:szCs w:val="24"/>
        </w:rPr>
        <w:t xml:space="preserve">tömíti a sebet</w:t>
      </w:r>
      <w:r>
        <w:rPr>
          <w:rFonts w:cstheme="minorHAnsi"/>
          <w:sz w:val="24"/>
          <w:szCs w:val="24"/>
        </w:rPr>
        <w:t xml:space="preserve"> – kihúzása azonnali, tömeges vérzést okozhat;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az idegentestet </w:t>
      </w:r>
      <w:r>
        <w:rPr>
          <w:rFonts w:cstheme="minorHAnsi"/>
          <w:b/>
          <w:bCs/>
          <w:sz w:val="24"/>
          <w:szCs w:val="24"/>
        </w:rPr>
        <w:t xml:space="preserve">körbepárnázzuk</w:t>
      </w:r>
      <w:r>
        <w:rPr>
          <w:rFonts w:cstheme="minorHAnsi"/>
          <w:sz w:val="24"/>
          <w:szCs w:val="24"/>
        </w:rPr>
        <w:t xml:space="preserve"> és rögzítjük, hogy ne mozogjon;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sérültet lehetőleg abban a testhelyzetben hagyjuk, amiben találtuk;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mellkasi vagy hasi szúrt seb esetén azonnali EMS-értesítés.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7.2. Lőtt seb – részletesen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mindig keresd meg a kilépési nyílást is</w:t>
      </w:r>
      <w:r>
        <w:rPr>
          <w:rFonts w:cstheme="minorHAnsi"/>
          <w:sz w:val="24"/>
          <w:szCs w:val="24"/>
        </w:rPr>
        <w:t xml:space="preserve"> – gyakran nagyobb, mint a bemeneti;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sérültet át kell fordítani a hát átvizsgálásához, ha a gerincsérülés kizárható;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mellkasi lőtt seb esetén a sebet </w:t>
      </w:r>
      <w:r>
        <w:rPr>
          <w:rFonts w:cstheme="minorHAnsi"/>
          <w:b/>
          <w:bCs/>
          <w:sz w:val="24"/>
          <w:szCs w:val="24"/>
        </w:rPr>
        <w:t xml:space="preserve">félig légmentesen</w:t>
      </w:r>
      <w:r>
        <w:rPr>
          <w:rFonts w:cstheme="minorHAnsi"/>
          <w:sz w:val="24"/>
          <w:szCs w:val="24"/>
        </w:rPr>
        <w:t xml:space="preserve"> kell fedni, hogy a levegő ki tudjon jönni, de ne szívódjon be – nyílt légmell veszélye;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végtagi, erős artériás vérzésnél a nyomópont és a tamponálás az elsődleges;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lőtt seb minden esetben </w:t>
      </w:r>
      <w:r>
        <w:rPr>
          <w:rFonts w:cstheme="minorHAnsi"/>
          <w:b/>
          <w:bCs/>
          <w:sz w:val="24"/>
          <w:szCs w:val="24"/>
        </w:rPr>
        <w:t xml:space="preserve">azonnali EMS-ellátást</w:t>
      </w:r>
      <w:r>
        <w:rPr>
          <w:rFonts w:cstheme="minorHAnsi"/>
          <w:sz w:val="24"/>
          <w:szCs w:val="24"/>
        </w:rPr>
        <w:t xml:space="preserve"> igényel;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helyszín egyben bűncselekmény helyszíne is – ne mozdíts el semmit feleslegesen, és jelentsd a rendvédelemnek.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8. TÖRÉSEK</w:t>
      </w:r>
    </w:p>
    <w:tbl>
      <w:tblPr>
        <w:tblW w:type="auto" w:w="0"/>
        <w:tblLayout w:type="fixed"/>
        <w:tblLook w:firstColumn="1" w:firstRow="1" w:lastColumn="0" w:lastRow="0" w:noHBand="0" w:noVBand="1" w:val="04A0"/>
        <w:tblStyle xmlns:a="http://schemas.openxmlformats.org/drawingml/2006/main" xmlns:pic="http://schemas.openxmlformats.org/drawingml/2006/picture" w:val="Rcsostblzat"/>
        <w:tblW xmlns:a="http://schemas.openxmlformats.org/drawingml/2006/main" xmlns:pic="http://schemas.openxmlformats.org/drawingml/2006/picture" w:w="9582" w:type="dxa"/>
        <w:tblLayout xmlns:a="http://schemas.openxmlformats.org/drawingml/2006/main" xmlns:pic="http://schemas.openxmlformats.org/drawingml/2006/picture" w:type="fixed"/>
      </w:tblPr>
      <w:tblGrid>
        <w:gridCol w:w="1927"/>
        <w:gridCol w:w="3628"/>
        <w:gridCol w:w="4025"/>
      </w:tblGrid>
      <w:tr>
        <w:trPr>
          <w:tblHeader xmlns:a="http://schemas.openxmlformats.org/drawingml/2006/main" xmlns:pic="http://schemas.openxmlformats.org/drawingml/2006/picture"/>
          <w:cantSplit xmlns:a="http://schemas.openxmlformats.org/drawingml/2006/main" xmlns:pic="http://schemas.openxmlformats.org/drawingml/2006/picture"/>
        </w:trPr>
        <w:tc>
          <w:tcPr>
            <w:tcW w:type="dxa" w:w="1928"/>
            <w:shd xmlns:a="http://schemas.openxmlformats.org/drawingml/2006/main" xmlns:pic="http://schemas.openxmlformats.org/drawingml/2006/picture" w:val="clear" w:color="auto" w:fill="D9D9D9"/>
          </w:tcPr>
          <w:p>
            <w:r/>
            <w:r>
              <w:rPr>
                <w:b/>
                <w:sz w:val="22"/>
              </w:rPr>
              <w:t>Típus</w:t>
            </w:r>
          </w:p>
        </w:tc>
        <w:tc>
          <w:tcPr>
            <w:tcW w:type="dxa" w:w="3628"/>
            <w:shd xmlns:a="http://schemas.openxmlformats.org/drawingml/2006/main" xmlns:pic="http://schemas.openxmlformats.org/drawingml/2006/picture" w:val="clear" w:color="auto" w:fill="D9D9D9"/>
          </w:tcPr>
          <w:p>
            <w:r/>
            <w:r>
              <w:rPr>
                <w:b/>
                <w:sz w:val="22"/>
              </w:rPr>
              <w:t>Jellemzője</w:t>
            </w:r>
          </w:p>
        </w:tc>
        <w:tc>
          <w:tcPr>
            <w:tcW w:type="dxa" w:w="4025"/>
            <w:shd xmlns:a="http://schemas.openxmlformats.org/drawingml/2006/main" xmlns:pic="http://schemas.openxmlformats.org/drawingml/2006/picture" w:val="clear" w:color="auto" w:fill="D9D9D9"/>
          </w:tcPr>
          <w:p>
            <w:r/>
            <w:r>
              <w:rPr>
                <w:b/>
                <w:sz w:val="22"/>
              </w:rPr>
              <w:t>Ellátás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22"/>
              </w:rPr>
              <w:t>Zárt törés</w:t>
            </w:r>
          </w:p>
        </w:tc>
        <w:tc>
          <w:tcPr>
            <w:tcW w:type="dxa" w:w="3628"/>
          </w:tcPr>
          <w:p>
            <w:r/>
            <w:r>
              <w:rPr>
                <w:sz w:val="22"/>
              </w:rPr>
              <w:t>Deformitás, fájdalom, duzzanat</w:t>
            </w:r>
          </w:p>
        </w:tc>
        <w:tc>
          <w:tcPr>
            <w:tcW w:type="dxa" w:w="4025"/>
          </w:tcPr>
          <w:p>
            <w:r/>
            <w:r>
              <w:rPr>
                <w:sz w:val="22"/>
              </w:rPr>
              <w:t>Rögzítés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22"/>
              </w:rPr>
              <w:t>Nyílt törés</w:t>
            </w:r>
          </w:p>
        </w:tc>
        <w:tc>
          <w:tcPr>
            <w:tcW w:type="dxa" w:w="3628"/>
          </w:tcPr>
          <w:p>
            <w:r/>
            <w:r>
              <w:rPr>
                <w:sz w:val="22"/>
              </w:rPr>
              <w:t>Seb és kilátszó csont</w:t>
            </w:r>
          </w:p>
        </w:tc>
        <w:tc>
          <w:tcPr>
            <w:tcW w:type="dxa" w:w="4025"/>
          </w:tcPr>
          <w:p>
            <w:r/>
            <w:r>
              <w:rPr>
                <w:sz w:val="22"/>
              </w:rPr>
              <w:t>Steril fedés, majd rögzítés</w:t>
            </w:r>
          </w:p>
        </w:tc>
      </w:tr>
    </w:tbl>
    <w:p/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8.1. A rögzítés szabályai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törött végtagot </w:t>
      </w:r>
      <w:r>
        <w:rPr>
          <w:rFonts w:cstheme="minorHAnsi"/>
          <w:b/>
          <w:bCs/>
          <w:sz w:val="24"/>
          <w:szCs w:val="24"/>
        </w:rPr>
        <w:t xml:space="preserve">abban a helyzetben rögzítjük, ahogy találtuk</w:t>
      </w:r>
      <w:r>
        <w:rPr>
          <w:rFonts w:cstheme="minorHAnsi"/>
          <w:sz w:val="24"/>
          <w:szCs w:val="24"/>
        </w:rPr>
        <w:t xml:space="preserve"> – nem próbáljuk helyretenni;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rögzítésnek </w:t>
      </w:r>
      <w:r>
        <w:rPr>
          <w:rFonts w:cstheme="minorHAnsi"/>
          <w:b/>
          <w:bCs/>
          <w:sz w:val="24"/>
          <w:szCs w:val="24"/>
        </w:rPr>
        <w:t xml:space="preserve">a törés feletti és alatti ízületre</w:t>
      </w:r>
      <w:r>
        <w:rPr>
          <w:rFonts w:cstheme="minorHAnsi"/>
          <w:sz w:val="24"/>
          <w:szCs w:val="24"/>
        </w:rPr>
        <w:t xml:space="preserve"> is ki kell terjednie;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nyílt törésnél előbb steril fedés, csak utána rögzítés;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rögzítés után ellenőrizni kell a végtag keringését: ujjszín, hőmérséklet, érzés;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gerinc- vagy nyaksérülés gyanúja esetén </w:t>
      </w:r>
      <w:r>
        <w:rPr>
          <w:rFonts w:cstheme="minorHAnsi"/>
          <w:b/>
          <w:bCs/>
          <w:sz w:val="24"/>
          <w:szCs w:val="24"/>
        </w:rPr>
        <w:t xml:space="preserve">a sérültet nem mozdítjuk</w:t>
      </w:r>
      <w:r>
        <w:rPr>
          <w:rFonts w:cstheme="minorHAnsi"/>
          <w:sz w:val="24"/>
          <w:szCs w:val="24"/>
        </w:rPr>
        <w:t xml:space="preserve">, kivéve ha a helyben maradás azonnali életveszélyt jelent.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8.2. Koponya- és gerincsérülés gyanúja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jelei: eszméletvesztés, hányinger, fülből vagy orrból szivárgó folyadék, végtagzsibbadás, mozgásképtelenség;</w:t>
      </w:r>
      <w:r>
        <w:rPr>
          <w:noProof/>
        </w:rPr>
        <w:drawing>
          <wp:anchor distT="0" distB="0" distL="114300" distR="114300" simplePos="0" relativeHeight="251658249" behindDoc="0" locked="0" layoutInCell="1" allowOverlap="1">
            <wp:simplePos x="0" y="0"/>
            <wp:positionH relativeFrom="margin">
              <wp:align>right</wp:align>
            </wp:positionH>
            <wp:positionV relativeFrom="page">
              <wp:posOffset>4300000</wp:posOffset>
            </wp:positionV>
            <wp:extent cx="2150000" cy="2027300"/>
            <wp:effectExtent l="0" t="0" r="0" b="0"/>
            <wp:wrapNone/>
            <wp:docPr id="900009" name="Kep 9000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09" name="Kep 900009"/>
                    <pic:cNvPicPr/>
                  </pic:nvPicPr>
                  <pic:blipFill>
                    <a:blip r:embed="rId10" cstate="print">
                      <a:alphaModFix amt="70000"/>
                    </a:blip>
                    <a:stretch>
                      <a:fillRect/>
                    </a:stretch>
                  </pic:blipFill>
                  <pic:spPr>
                    <a:xfrm rot="1500000">
                      <a:off x="0" y="0"/>
                      <a:ext cx="2150000" cy="202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fejet és a nyakat </w:t>
      </w:r>
      <w:r>
        <w:rPr>
          <w:rFonts w:cstheme="minorHAnsi"/>
          <w:b/>
          <w:bCs/>
          <w:sz w:val="24"/>
          <w:szCs w:val="24"/>
        </w:rPr>
        <w:t xml:space="preserve">egy vonalban</w:t>
      </w:r>
      <w:r>
        <w:rPr>
          <w:rFonts w:cstheme="minorHAnsi"/>
          <w:sz w:val="24"/>
          <w:szCs w:val="24"/>
        </w:rPr>
        <w:t xml:space="preserve"> kell tartani, kézzel stabilizálva;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sérült mozgatása kizárólag több ember összehangolt munkájával, egyenes tengelyben.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9. ÉGÉS ÉS FÜSTMÉRGEZÉS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9.1. Égési sérülés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az égett felületet </w:t>
      </w:r>
      <w:r>
        <w:rPr>
          <w:rFonts w:cstheme="minorHAnsi"/>
          <w:b/>
          <w:bCs/>
          <w:sz w:val="24"/>
          <w:szCs w:val="24"/>
        </w:rPr>
        <w:t xml:space="preserve">hűteni</w:t>
      </w:r>
      <w:r>
        <w:rPr>
          <w:rFonts w:cstheme="minorHAnsi"/>
          <w:sz w:val="24"/>
          <w:szCs w:val="24"/>
        </w:rPr>
        <w:t xml:space="preserve"> kell tiszta, hideg – nem jeges – vízzel;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ráégett ruhát </w:t>
      </w:r>
      <w:r>
        <w:rPr>
          <w:rFonts w:cstheme="minorHAnsi"/>
          <w:b/>
          <w:bCs/>
          <w:sz w:val="24"/>
          <w:szCs w:val="24"/>
        </w:rPr>
        <w:t xml:space="preserve">nem távolítjuk el</w:t>
      </w:r>
      <w:r>
        <w:rPr>
          <w:rFonts w:cstheme="minorHAnsi"/>
          <w:sz w:val="24"/>
          <w:szCs w:val="24"/>
        </w:rPr>
        <w:t xml:space="preserve">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hólyagot nem szúrjuk ki;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steril, nem szálló anyagú fedőkötés;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nagy kiterjedésű égésnél a kihűlés veszélye nagy – a hűtés után takarni kell;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az arcot vagy a légutakat érintő égés azonnali EMS-t igényel.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9.2. Füstmérgezés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jelei: köhögés, rekedtség, koromszemcsék az orr és a száj körül, fejfájás, zavartság;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sérültet azonnal friss levegőre kell vinni;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félülő helyzet, szoros ruha meglazítása;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eszméletvesztés esetén stabil oldalfekvés, légútbiztosítás;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füstmérgezés tünetei </w:t>
      </w:r>
      <w:r>
        <w:rPr>
          <w:rFonts w:cstheme="minorHAnsi"/>
          <w:b/>
          <w:bCs/>
          <w:sz w:val="24"/>
          <w:szCs w:val="24"/>
        </w:rPr>
        <w:t xml:space="preserve">késleltetve is jelentkezhetnek</w:t>
      </w:r>
      <w:r>
        <w:rPr>
          <w:rFonts w:cstheme="minorHAnsi"/>
          <w:sz w:val="24"/>
          <w:szCs w:val="24"/>
        </w:rPr>
        <w:t xml:space="preserve"> – minden érintettet át kell adni az EMS-nek, akkor is, ha jól érzi magát.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10. SOKK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A sokk a keringés elégtelensége, amely a szervek oxigénellátásának romlásához vezet. Vérveszteség, súlyos sérülés, égés vagy allergiás reakció is kiválthatja.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10.1. Jelei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halvány, hűvös, nyirkos bőr;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szapora, gyenge pulzus;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gyors, felületes légzés;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szomjúságérzet, hányinger;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nyugtalanság, majd fokozódó zavartság, végül eszméletvesztés.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10.2. Ellátás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sérültet lefektetjük, </w:t>
      </w:r>
      <w:r>
        <w:rPr>
          <w:rFonts w:cstheme="minorHAnsi"/>
          <w:b/>
          <w:bCs/>
          <w:sz w:val="24"/>
          <w:szCs w:val="24"/>
        </w:rPr>
        <w:t xml:space="preserve">lábait enyhén megemeljük</w:t>
      </w:r>
      <w:r>
        <w:rPr>
          <w:rFonts w:cstheme="minorHAnsi"/>
          <w:sz w:val="24"/>
          <w:szCs w:val="24"/>
        </w:rPr>
        <w:t xml:space="preserve">;</w:t>
      </w:r>
      <w:r>
        <w:rPr>
          <w:noProof/>
        </w:rPr>
        <w:drawing>
          <wp:anchor distT="0" distB="0" distL="114300" distR="114300" simplePos="0" relativeHeight="251658250" behindDoc="0" locked="0" layoutInCell="1" allowOverlap="1">
            <wp:simplePos x="0" y="0"/>
            <wp:positionH relativeFrom="margin">
              <wp:align>left</wp:align>
            </wp:positionH>
            <wp:positionV relativeFrom="page">
              <wp:posOffset>6750000</wp:posOffset>
            </wp:positionV>
            <wp:extent cx="1750000" cy="1650000"/>
            <wp:effectExtent l="0" t="0" r="0" b="0"/>
            <wp:wrapNone/>
            <wp:docPr id="900010" name="Kep 9000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10" name="Kep 900010"/>
                    <pic:cNvPicPr/>
                  </pic:nvPicPr>
                  <pic:blipFill>
                    <a:blip r:embed="rId10" cstate="print">
                      <a:alphaModFix amt="70000"/>
                    </a:blip>
                    <a:stretch>
                      <a:fillRect/>
                    </a:stretch>
                  </pic:blipFill>
                  <pic:spPr>
                    <a:xfrm rot="21000000">
                      <a:off x="0" y="0"/>
                      <a:ext cx="1750000" cy="165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betakarjuk – a kihűlés súlyosbítja a sokkot;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vérzést csillapítjuk;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nem adunk inni;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folyamatosan figyeljük a tudatállapotot és a légzést;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azonnali EMS-értesítés.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11. ÚJRAÉLESZTÉS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1. Biztonság:</w:t>
      </w:r>
      <w:r>
        <w:rPr>
          <w:rFonts w:cstheme="minorHAnsi"/>
          <w:sz w:val="24"/>
          <w:szCs w:val="24"/>
        </w:rPr>
        <w:t xml:space="preserve"> győződj meg róla, hogy a helyszín biztonságos – tűz alatt nem újraélesztünk, előbb fedezékbe húzzuk a sérültet;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2. Reakcióvizsgálat:</w:t>
      </w:r>
      <w:r>
        <w:rPr>
          <w:rFonts w:cstheme="minorHAnsi"/>
          <w:sz w:val="24"/>
          <w:szCs w:val="24"/>
        </w:rPr>
        <w:t xml:space="preserve"> megszólítás, vállak megrázása;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3. Légútbiztosítás:</w:t>
      </w:r>
      <w:r>
        <w:rPr>
          <w:rFonts w:cstheme="minorHAnsi"/>
          <w:sz w:val="24"/>
          <w:szCs w:val="24"/>
        </w:rPr>
        <w:t xml:space="preserve"> fej hátrahajtása, áll megemelése;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4. Légzésvizsgálat:</w:t>
      </w:r>
      <w:r>
        <w:rPr>
          <w:rFonts w:cstheme="minorHAnsi"/>
          <w:sz w:val="24"/>
          <w:szCs w:val="24"/>
        </w:rPr>
        <w:t xml:space="preserve"> 10 másodperc – nézd, hallgasd, érezd;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5. Segítséghívás:</w:t>
      </w:r>
      <w:r>
        <w:rPr>
          <w:rFonts w:cstheme="minorHAnsi"/>
          <w:sz w:val="24"/>
          <w:szCs w:val="24"/>
        </w:rPr>
        <w:t xml:space="preserve"> EMS azonnali riasztása rádión;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6. Mellkaskompresszió:</w:t>
      </w:r>
      <w:r>
        <w:rPr>
          <w:rFonts w:cstheme="minorHAnsi"/>
          <w:sz w:val="24"/>
          <w:szCs w:val="24"/>
        </w:rPr>
        <w:t xml:space="preserve"> a mellkas közepén, két kézzel, erőteljesen és folyamatosan;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7. Váltás:</w:t>
      </w:r>
      <w:r>
        <w:rPr>
          <w:rFonts w:cstheme="minorHAnsi"/>
          <w:sz w:val="24"/>
          <w:szCs w:val="24"/>
        </w:rPr>
        <w:t xml:space="preserve"> ha többen vagytok, kétpercenként váltsatok, hogy a nyomás minősége ne romoljon;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8. Folytatás:</w:t>
      </w:r>
      <w:r>
        <w:rPr>
          <w:rFonts w:cstheme="minorHAnsi"/>
          <w:sz w:val="24"/>
          <w:szCs w:val="24"/>
        </w:rPr>
        <w:t xml:space="preserve"> az EMS megérkezéséig vagy a keringés visszatéréséig.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b/>
          <w:bCs/>
          <w:u w:val="single"/>
          <w:sz w:val="24"/>
          <w:szCs w:val="24"/>
        </w:rPr>
        <w:t xml:space="preserve">Fontos</w:t>
      </w:r>
      <w:r>
        <w:rPr>
          <w:rFonts w:cstheme="minorHAnsi"/>
          <w:sz w:val="24"/>
          <w:szCs w:val="24"/>
        </w:rPr>
        <w:t xml:space="preserve">: a mellkaskompresszió minősége fontosabb, mint bármi más: </w:t>
      </w:r>
      <w:r>
        <w:rPr>
          <w:rFonts w:cstheme="minorHAnsi"/>
          <w:b/>
          <w:bCs/>
          <w:sz w:val="24"/>
          <w:szCs w:val="24"/>
        </w:rPr>
        <w:t xml:space="preserve">erőteljes, gyors, folyamatos</w:t>
      </w:r>
      <w:r>
        <w:rPr>
          <w:rFonts w:cstheme="minorHAnsi"/>
          <w:sz w:val="24"/>
          <w:szCs w:val="24"/>
        </w:rPr>
        <w:t xml:space="preserve">, minimális megszakítással.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12. ELLÁTÁS TŰZ ALATT – TAKTIKAI SEGÉLYNYÚJTÁS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Éles helyzetben az ellátás sorrendje eltér a békeidejűtől. Itt a legfőbb szabály: </w:t>
      </w:r>
      <w:r>
        <w:rPr>
          <w:rFonts w:cstheme="minorHAnsi"/>
          <w:b/>
          <w:bCs/>
          <w:sz w:val="24"/>
          <w:szCs w:val="24"/>
        </w:rPr>
        <w:t xml:space="preserve">halott mentő nem ment senkit</w:t>
      </w:r>
      <w:r>
        <w:rPr>
          <w:rFonts w:cstheme="minorHAnsi"/>
          <w:sz w:val="24"/>
          <w:szCs w:val="24"/>
        </w:rPr>
        <w:t xml:space="preserve">.</w:t>
      </w:r>
    </w:p>
    <w:tbl>
      <w:tblPr>
        <w:tblW w:type="auto" w:w="0"/>
        <w:tblLayout w:type="fixed"/>
        <w:tblLook w:firstColumn="1" w:firstRow="1" w:lastColumn="0" w:lastRow="0" w:noHBand="0" w:noVBand="1" w:val="04A0"/>
        <w:tblStyle xmlns:a="http://schemas.openxmlformats.org/drawingml/2006/main" xmlns:pic="http://schemas.openxmlformats.org/drawingml/2006/picture" w:val="Rcsostblzat"/>
        <w:tblW xmlns:a="http://schemas.openxmlformats.org/drawingml/2006/main" xmlns:pic="http://schemas.openxmlformats.org/drawingml/2006/picture" w:w="9582" w:type="dxa"/>
        <w:tblLayout xmlns:a="http://schemas.openxmlformats.org/drawingml/2006/main" xmlns:pic="http://schemas.openxmlformats.org/drawingml/2006/picture" w:type="fixed"/>
      </w:tblPr>
      <w:tblGrid>
        <w:gridCol w:w="1927"/>
        <w:gridCol w:w="7654"/>
      </w:tblGrid>
      <w:tr>
        <w:trPr>
          <w:tblHeader xmlns:a="http://schemas.openxmlformats.org/drawingml/2006/main" xmlns:pic="http://schemas.openxmlformats.org/drawingml/2006/picture"/>
          <w:cantSplit xmlns:a="http://schemas.openxmlformats.org/drawingml/2006/main" xmlns:pic="http://schemas.openxmlformats.org/drawingml/2006/picture"/>
        </w:trPr>
        <w:tc>
          <w:tcPr>
            <w:tcW w:type="dxa" w:w="1928"/>
            <w:shd xmlns:a="http://schemas.openxmlformats.org/drawingml/2006/main" xmlns:pic="http://schemas.openxmlformats.org/drawingml/2006/picture" w:val="clear" w:color="auto" w:fill="D9D9D9"/>
          </w:tcPr>
          <w:p>
            <w:r/>
            <w:r>
              <w:rPr>
                <w:b/>
                <w:sz w:val="22"/>
              </w:rPr>
              <w:t>Fázis</w:t>
            </w:r>
          </w:p>
        </w:tc>
        <w:tc>
          <w:tcPr>
            <w:tcW w:type="dxa" w:w="7654"/>
            <w:shd xmlns:a="http://schemas.openxmlformats.org/drawingml/2006/main" xmlns:pic="http://schemas.openxmlformats.org/drawingml/2006/picture" w:val="clear" w:color="auto" w:fill="D9D9D9"/>
          </w:tcPr>
          <w:p>
            <w:r/>
            <w:r>
              <w:rPr>
                <w:b/>
                <w:sz w:val="22"/>
              </w:rPr>
              <w:t>Mit teszünk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22"/>
              </w:rPr>
              <w:t>Tűz alatt</w:t>
            </w:r>
          </w:p>
        </w:tc>
        <w:tc>
          <w:tcPr>
            <w:tcW w:type="dxa" w:w="7654"/>
          </w:tcPr>
          <w:p>
            <w:r/>
            <w:r>
              <w:rPr>
                <w:sz w:val="22"/>
              </w:rPr>
              <w:t>Nincs ellátás. A fenyegetés elhárítása vagy kivonás. Legfeljebb életveszélyes végtagvérzés elszorítása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22"/>
              </w:rPr>
              <w:t>Fedezékben</w:t>
            </w:r>
          </w:p>
        </w:tc>
        <w:tc>
          <w:tcPr>
            <w:tcW w:type="dxa" w:w="7654"/>
          </w:tcPr>
          <w:p>
            <w:r/>
            <w:r>
              <w:rPr>
                <w:sz w:val="22"/>
              </w:rPr>
              <w:t>Gyors ABCDE, a legsúlyosabb életveszély elhárítása: vérzés, légút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22"/>
              </w:rPr>
              <w:t>Kivonás alatt</w:t>
            </w:r>
          </w:p>
        </w:tc>
        <w:tc>
          <w:tcPr>
            <w:tcW w:type="dxa" w:w="7654"/>
          </w:tcPr>
          <w:p>
            <w:r/>
            <w:r>
              <w:rPr>
                <w:sz w:val="22"/>
              </w:rPr>
              <w:t>Az ellátás fenntartása, folyamatos állapotfigyelés, EMS-értesítés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22"/>
              </w:rPr>
              <w:t>Átadás</w:t>
            </w:r>
          </w:p>
        </w:tc>
        <w:tc>
          <w:tcPr>
            <w:tcW w:type="dxa" w:w="7654"/>
          </w:tcPr>
          <w:p>
            <w:r/>
            <w:r>
              <w:rPr>
                <w:sz w:val="22"/>
              </w:rPr>
              <w:t>Teljes tájékoztatás az EMS-nek: mi történt, mit találtunk, mit adtunk be</w:t>
            </w:r>
          </w:p>
        </w:tc>
      </w:tr>
    </w:tbl>
    <w:p/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12.1. Prioritási sorrend éles helyzetben</w:t>
      </w:r>
      <w:r>
        <w:rPr>
          <w:noProof/>
        </w:rPr>
        <w:drawing>
          <wp:anchor distT="0" distB="0" distL="114300" distR="114300" simplePos="0" relativeHeight="251658251" behindDoc="0" locked="0" layoutInCell="1" allowOverlap="1">
            <wp:simplePos x="0" y="0"/>
            <wp:positionH relativeFrom="margin">
              <wp:align>right</wp:align>
            </wp:positionH>
            <wp:positionV relativeFrom="page">
              <wp:posOffset>6250000</wp:posOffset>
            </wp:positionV>
            <wp:extent cx="2067460" cy="1949183"/>
            <wp:effectExtent l="0" t="0" r="0" b="0"/>
            <wp:wrapNone/>
            <wp:docPr id="900011" name="Kep 9000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11" name="Kep 900011"/>
                    <pic:cNvPicPr/>
                  </pic:nvPicPr>
                  <pic:blipFill>
                    <a:blip r:embed="rId10" cstate="print">
                      <a:alphaModFix amt="70000"/>
                    </a:blip>
                    <a:stretch>
                      <a:fillRect/>
                    </a:stretch>
                  </pic:blipFill>
                  <pic:spPr>
                    <a:xfrm rot="994704">
                      <a:off x="0" y="0"/>
                      <a:ext cx="2067460" cy="19491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1.</w:t>
      </w:r>
      <w:r>
        <w:rPr>
          <w:rFonts w:cstheme="minorHAnsi"/>
          <w:sz w:val="24"/>
          <w:szCs w:val="24"/>
        </w:rPr>
        <w:t xml:space="preserve"> A védett személy biztonsága;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2.</w:t>
      </w:r>
      <w:r>
        <w:rPr>
          <w:rFonts w:cstheme="minorHAnsi"/>
          <w:sz w:val="24"/>
          <w:szCs w:val="24"/>
        </w:rPr>
        <w:t xml:space="preserve"> A fenyegetés elhárítása vagy a kivonás;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3.</w:t>
      </w:r>
      <w:r>
        <w:rPr>
          <w:rFonts w:cstheme="minorHAnsi"/>
          <w:sz w:val="24"/>
          <w:szCs w:val="24"/>
        </w:rPr>
        <w:t xml:space="preserve"> Életveszélyes vérzés csillapítása;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4.</w:t>
      </w:r>
      <w:r>
        <w:rPr>
          <w:rFonts w:cstheme="minorHAnsi"/>
          <w:sz w:val="24"/>
          <w:szCs w:val="24"/>
        </w:rPr>
        <w:t xml:space="preserve"> Légútbiztosítás;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5.</w:t>
      </w:r>
      <w:r>
        <w:rPr>
          <w:rFonts w:cstheme="minorHAnsi"/>
          <w:sz w:val="24"/>
          <w:szCs w:val="24"/>
        </w:rPr>
        <w:t xml:space="preserve"> Minden egyéb ellátás.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13. A SÉRÜLT MOZGATÁSA ÉS ÁTADÁSA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13.1. Mozgatás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A cipelési technikákat a </w:t>
      </w:r>
      <w:r>
        <w:rPr>
          <w:rFonts w:cstheme="minorHAnsi"/>
          <w:b/>
          <w:bCs/>
          <w:sz w:val="24"/>
          <w:szCs w:val="24"/>
        </w:rPr>
        <w:t xml:space="preserve">G.1H – Erőnléti oktatás – haladó fokozat</w:t>
      </w:r>
      <w:r>
        <w:rPr>
          <w:rFonts w:cstheme="minorHAnsi"/>
          <w:sz w:val="24"/>
          <w:szCs w:val="24"/>
        </w:rPr>
        <w:t xml:space="preserve"> modul részletezi. Az egészségügyi alapelvek: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gerinc- vagy nyaksérülés gyanúja esetén </w:t>
      </w:r>
      <w:r>
        <w:rPr>
          <w:rFonts w:cstheme="minorHAnsi"/>
          <w:b/>
          <w:bCs/>
          <w:sz w:val="24"/>
          <w:szCs w:val="24"/>
        </w:rPr>
        <w:t xml:space="preserve">nem mozdítjuk</w:t>
      </w:r>
      <w:r>
        <w:rPr>
          <w:rFonts w:cstheme="minorHAnsi"/>
          <w:sz w:val="24"/>
          <w:szCs w:val="24"/>
        </w:rPr>
        <w:t xml:space="preserve"> a sérültet, kivéve közvetlen életveszélyt;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mozgatás előtt – ha az idő engedi – rövid ABCDE-vizsgálat;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mozgatás közben a fejet és a nyakat stabilizálni kell;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mozgatás után az állapotot újra kell értékelni.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13.2. Átadás az EMS-nek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Az átadásnál a következőket kell közölni, ebben a sorrendben: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mi történt</w:t>
      </w:r>
      <w:r>
        <w:rPr>
          <w:rFonts w:cstheme="minorHAnsi"/>
          <w:sz w:val="24"/>
          <w:szCs w:val="24"/>
        </w:rPr>
        <w:t xml:space="preserve"> – a sérülés mechanizmusa;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mit találtunk</w:t>
      </w:r>
      <w:r>
        <w:rPr>
          <w:rFonts w:cstheme="minorHAnsi"/>
          <w:sz w:val="24"/>
          <w:szCs w:val="24"/>
        </w:rPr>
        <w:t xml:space="preserve"> – az ABCDE eredménye, a sérülések helye és jellege;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mit tettünk</w:t>
      </w:r>
      <w:r>
        <w:rPr>
          <w:rFonts w:cstheme="minorHAnsi"/>
          <w:sz w:val="24"/>
          <w:szCs w:val="24"/>
        </w:rPr>
        <w:t xml:space="preserve"> – kötések, rögzítés, beadott gyógyszer, időpontokkal;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hogyan változott az állapot</w:t>
      </w:r>
      <w:r>
        <w:rPr>
          <w:rFonts w:cstheme="minorHAnsi"/>
          <w:sz w:val="24"/>
          <w:szCs w:val="24"/>
        </w:rPr>
        <w:t xml:space="preserve"> az ellátás alatt;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mit tudunk a sérültről</w:t>
      </w:r>
      <w:r>
        <w:rPr>
          <w:rFonts w:cstheme="minorHAnsi"/>
          <w:sz w:val="24"/>
          <w:szCs w:val="24"/>
        </w:rPr>
        <w:t xml:space="preserve"> – ismert betegség, allergia, gyógyszer.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b/>
          <w:bCs/>
          <w:u w:val="single"/>
          <w:sz w:val="24"/>
          <w:szCs w:val="24"/>
        </w:rPr>
        <w:t xml:space="preserve">Dokumentáció</w:t>
      </w:r>
      <w:r>
        <w:rPr>
          <w:rFonts w:cstheme="minorHAnsi"/>
          <w:sz w:val="24"/>
          <w:szCs w:val="24"/>
        </w:rPr>
        <w:t xml:space="preserve">: minden egészségügyi beavatkozásról jelentést kell írni az </w:t>
      </w:r>
      <w:r>
        <w:rPr>
          <w:rFonts w:cstheme="minorHAnsi"/>
          <w:b/>
          <w:bCs/>
          <w:sz w:val="24"/>
          <w:szCs w:val="24"/>
        </w:rPr>
        <w:t xml:space="preserve">R – Szolgálati rend és dokumentáció</w:t>
      </w:r>
      <w:r>
        <w:rPr>
          <w:rFonts w:cstheme="minorHAnsi"/>
          <w:sz w:val="24"/>
          <w:szCs w:val="24"/>
        </w:rPr>
        <w:t xml:space="preserve"> modul szabályai szerint.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14. GYAKORLATI FELADATSOROK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14.1. ABCDE-gyakorlat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Szimulált sérülteken a teljes séma végigvitele, hangosan kimondva;</w:t>
      </w:r>
      <w:r>
        <w:rPr>
          <w:noProof/>
        </w:rPr>
        <w:drawing>
          <wp:anchor distT="0" distB="0" distL="114300" distR="114300" simplePos="0" relativeHeight="251658252" behindDoc="0" locked="0" layoutInCell="1" allowOverlap="1">
            <wp:simplePos x="0" y="0"/>
            <wp:positionH relativeFrom="margin">
              <wp:align>left</wp:align>
            </wp:positionH>
            <wp:positionV relativeFrom="page">
              <wp:posOffset>6950000</wp:posOffset>
            </wp:positionV>
            <wp:extent cx="1900000" cy="1791700"/>
            <wp:effectExtent l="0" t="0" r="0" b="0"/>
            <wp:wrapNone/>
            <wp:docPr id="900012" name="Kep 9000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12" name="Kep 900012"/>
                    <pic:cNvPicPr/>
                  </pic:nvPicPr>
                  <pic:blipFill>
                    <a:blip r:embed="rId10" cstate="print">
                      <a:alphaModFix amt="70000"/>
                    </a:blip>
                    <a:stretch>
                      <a:fillRect/>
                    </a:stretch>
                  </pic:blipFill>
                  <pic:spPr>
                    <a:xfrm rot="20500000">
                      <a:off x="0" y="0"/>
                      <a:ext cx="1900000" cy="1791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Értékelés: a sorrend betartása, a lépések kihagyásának elkerülése.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14.2. Vérzéscsillapítási gyakorlat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Artériás, vénás és kapilláris vérzés ellátása, nyomópont alkalmazása;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Értékelés: a vérzéstípus felismerése és a helyes kötés.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14.3. Kötözési gyakorlat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Fedő-, nyomó- és szorítókötés készítése, végtag- és fejkötés;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Értékelés: sterilitás, szorosság, a keringés ellenőrzése.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14.4. Lőtt és szúrt seb ellátása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Attrappal, ki- és belépési nyílás megkeresésével;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Értékelés: az idegentest bennhagyása, a mellkasi seb fedésének módja.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14.5. Rögzítési gyakorlat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Zárt és nyílt törés rögzítése rögtönzött eszközökkel;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Értékelés: a két ízület lefedése, a keringésellenőrzés.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14.6. Újraélesztés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Bábun, egyedül és párban, kétperces váltással;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Értékelés: a kompresszió mélysége, üteme és folyamatossága.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14.7. Taktikai segélynyújtás tűz alatt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Szimulált tűzharc, sérült kivonása fedezékbe, majd ellátás;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Értékelés: a fázisok betartása, a saját biztonság megőrzése.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14.8. Átadási gyakorlat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Az öt pont szerinti átadás EMS-nek, időnyomás alatt;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Értékelés: tömörség, teljesség, a beadott gyógyszerek pontos közlése.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15. SZÁMONKÉRÉS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A számonkérés írásbeli tesztből és gyakorlati bemutatóból áll. A vizsgáztató szituációt ad be, és azt figyeli, hogy a jelölt </w:t>
      </w:r>
      <w:r>
        <w:rPr>
          <w:rFonts w:cstheme="minorHAnsi"/>
          <w:b/>
          <w:bCs/>
          <w:sz w:val="24"/>
          <w:szCs w:val="24"/>
        </w:rPr>
        <w:t xml:space="preserve">az ABCDE-sorrendet tartja-e</w:t>
      </w:r>
      <w:r>
        <w:rPr>
          <w:rFonts w:cstheme="minorHAnsi"/>
          <w:sz w:val="24"/>
          <w:szCs w:val="24"/>
        </w:rPr>
        <w:t xml:space="preserve">, nem hagy-e ki lépést, és felismeri-e, mit </w:t>
      </w:r>
      <w:r>
        <w:rPr>
          <w:rFonts w:cstheme="minorHAnsi"/>
          <w:b/>
          <w:bCs/>
          <w:sz w:val="24"/>
          <w:szCs w:val="24"/>
        </w:rPr>
        <w:t xml:space="preserve">nem szabad</w:t>
      </w:r>
      <w:r>
        <w:rPr>
          <w:rFonts w:cstheme="minorHAnsi"/>
          <w:sz w:val="24"/>
          <w:szCs w:val="24"/>
        </w:rPr>
        <w:t xml:space="preserve"> megtennie.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b/>
          <w:bCs/>
          <w:u w:val="single"/>
          <w:sz w:val="24"/>
          <w:szCs w:val="24"/>
        </w:rPr>
        <w:t xml:space="preserve">A vizsga eredményéről kizárólag a vizsgáztató dönt</w:t>
      </w:r>
      <w:r>
        <w:rPr>
          <w:rFonts w:cstheme="minorHAnsi"/>
          <w:sz w:val="24"/>
          <w:szCs w:val="24"/>
        </w:rPr>
        <w:t xml:space="preserve">: pontszámhatár nincs.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16. ZÁRSZÓ</w:t>
      </w:r>
      <w:r>
        <w:rPr>
          <w:noProof/>
        </w:rPr>
        <w:drawing>
          <wp:anchor distT="0" distB="0" distL="114300" distR="114300" simplePos="0" relativeHeight="251658253" behindDoc="0" locked="0" layoutInCell="1" allowOverlap="1">
            <wp:simplePos x="0" y="0"/>
            <wp:positionH relativeFrom="margin">
              <wp:align>right</wp:align>
            </wp:positionH>
            <wp:positionV relativeFrom="page">
              <wp:posOffset>4300000</wp:posOffset>
            </wp:positionV>
            <wp:extent cx="2150000" cy="2027300"/>
            <wp:effectExtent l="0" t="0" r="0" b="0"/>
            <wp:wrapNone/>
            <wp:docPr id="900013" name="Kep 9000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13" name="Kep 900013"/>
                    <pic:cNvPicPr/>
                  </pic:nvPicPr>
                  <pic:blipFill>
                    <a:blip r:embed="rId10" cstate="print">
                      <a:alphaModFix amt="70000"/>
                    </a:blip>
                    <a:stretch>
                      <a:fillRect/>
                    </a:stretch>
                  </pic:blipFill>
                  <pic:spPr>
                    <a:xfrm rot="1500000">
                      <a:off x="0" y="0"/>
                      <a:ext cx="2150000" cy="202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Az elsősegélynyújtás nem csupán szakmai ismeret – felelősség és elhivatottság is. Aki megtanulja és magabiztosan alkalmazza az itt bemutatott alapvető eljárásokat, az nem csak bajtársat, hanem </w:t>
      </w:r>
      <w:r>
        <w:rPr>
          <w:rFonts w:cstheme="minorHAnsi"/>
          <w:b/>
          <w:bCs/>
          <w:sz w:val="24"/>
          <w:szCs w:val="24"/>
        </w:rPr>
        <w:t xml:space="preserve">életet is menthet</w:t>
      </w:r>
      <w:r>
        <w:rPr>
          <w:rFonts w:cstheme="minorHAnsi"/>
          <w:sz w:val="24"/>
          <w:szCs w:val="24"/>
        </w:rPr>
        <w:t xml:space="preserve">. Egy váratlan helyzetben nem a leggyorsabb, hanem a </w:t>
      </w:r>
      <w:r>
        <w:rPr>
          <w:rFonts w:cstheme="minorHAnsi"/>
          <w:b/>
          <w:bCs/>
          <w:sz w:val="24"/>
          <w:szCs w:val="24"/>
        </w:rPr>
        <w:t xml:space="preserve">legfelkészültebb</w:t>
      </w:r>
      <w:r>
        <w:rPr>
          <w:rFonts w:cstheme="minorHAnsi"/>
          <w:sz w:val="24"/>
          <w:szCs w:val="24"/>
        </w:rPr>
        <w:t xml:space="preserve"> testőr hozza meg a döntő különbséget.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Ez a tananyag az első lépés azon az úton, amely a professzionális, higgadt és hatékony fellépéshez vezet. A tudás önmagában nem elég – gyakorolni, ismételni, alkalmazni kell, hogy minden mozdulat reflexként működjön, amikor már nincs idő gondolkodni.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Ne feledd: </w:t>
      </w:r>
      <w:r>
        <w:rPr>
          <w:rFonts w:cstheme="minorHAnsi"/>
          <w:b/>
          <w:bCs/>
          <w:sz w:val="24"/>
          <w:szCs w:val="24"/>
        </w:rPr>
        <w:t xml:space="preserve">az elnök, a bajtársaid és a civilek biztonsága sokszor a te kezedben van.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Tanulj, fejlődj, gyakorolj – és légy az, akire vészhelyzetben mindenki számíthat!</w:t>
      </w:r>
    </w:p>
    <w:p xmlns:a="http://schemas.openxmlformats.org/drawingml/2006/main" xmlns:pic="http://schemas.openxmlformats.org/drawingml/2006/picture"/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Kelt, 2026.07.29.</w:t>
      </w:r>
    </w:p>
    <w:p xmlns:a="http://schemas.openxmlformats.org/drawingml/2006/main" xmlns:pic="http://schemas.openxmlformats.org/drawingml/2006/picture"/>
    <w:p xmlns:a="http://schemas.openxmlformats.org/drawingml/2006/main" xmlns:pic="http://schemas.openxmlformats.org/drawingml/2006/picture"/>
    <w:p xmlns:a="http://schemas.openxmlformats.org/drawingml/2006/main" xmlns:pic="http://schemas.openxmlformats.org/drawingml/2006/picture">
      <w:r>
        <w:rPr>
          <w:rFonts w:cstheme="minorHAnsi"/>
          <w:sz w:val="24"/>
          <w:szCs w:val="24"/>
        </w:rPr>
        <w:t xml:space="preserve">készítették:	</w:t>
      </w:r>
      <w:r>
        <w:rPr>
          <w:rFonts w:cstheme="minorHAnsi"/>
          <w:b/>
          <w:bCs/>
          <w:sz w:val="24"/>
          <w:szCs w:val="24"/>
        </w:rPr>
        <w:t xml:space="preserve">Dr. Thomas Miller</w:t>
      </w:r>
      <w:r>
        <w:rPr>
          <w:rFonts w:cstheme="minorHAnsi"/>
          <w:sz w:val="24"/>
          <w:szCs w:val="24"/>
        </w:rPr>
        <w:t xml:space="preserve"> – oktató</w:t>
      </w:r>
    </w:p>
    <w:p xmlns:a="http://schemas.openxmlformats.org/drawingml/2006/main" xmlns:pic="http://schemas.openxmlformats.org/drawingml/2006/picture">
      <w:r>
        <w:rPr>
          <w:rFonts w:cstheme="minorHAnsi"/>
          <w:sz w:val="24"/>
          <w:szCs w:val="24"/>
        </w:rPr>
        <w:t xml:space="preserve">		</w:t>
      </w:r>
      <w:r>
        <w:rPr>
          <w:rFonts w:cstheme="minorHAnsi"/>
          <w:b/>
          <w:bCs/>
          <w:sz w:val="24"/>
          <w:szCs w:val="24"/>
        </w:rPr>
        <w:t xml:space="preserve">Tyron Wolf</w:t>
      </w:r>
      <w:r>
        <w:rPr>
          <w:rFonts w:cstheme="minorHAnsi"/>
          <w:sz w:val="24"/>
          <w:szCs w:val="24"/>
        </w:rPr>
        <w:t xml:space="preserve"> – Los Santos elnöke</w:t>
      </w:r>
    </w:p>
    <w:p xmlns:a="http://schemas.openxmlformats.org/drawingml/2006/main" xmlns:pic="http://schemas.openxmlformats.org/drawingml/2006/picture"/>
    <w:p xmlns:a="http://schemas.openxmlformats.org/drawingml/2006/main" xmlns:pic="http://schemas.openxmlformats.org/drawingml/2006/picture">
      <w:r>
        <w:rPr>
          <w:noProof/>
        </w:rPr>
        <w:drawing>
          <wp:anchor distT="0" distB="0" distL="114300" distR="114300" simplePos="0" relativeHeight="251658255" behindDoc="0" locked="0" layoutInCell="1" allowOverlap="1">
            <wp:simplePos x="0" y="0"/>
            <wp:positionH relativeFrom="margin">
              <wp:posOffset>900000</wp:posOffset>
            </wp:positionH>
            <wp:positionV relativeFrom="paragraph">
              <wp:posOffset>-820000</wp:posOffset>
            </wp:positionV>
            <wp:extent cx="1350000" cy="400000"/>
            <wp:effectExtent l="0" t="0" r="0" b="0"/>
            <wp:wrapNone/>
            <wp:docPr id="900015" name="Kep 9000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15" name="Kep 90001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0000" cy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theme="minorHAnsi"/>
          <w:sz w:val="24"/>
          <w:szCs w:val="24"/>
        </w:rPr>
        <w:t xml:space="preserve">Átnézte:	</w:t>
      </w:r>
      <w:r>
        <w:rPr>
          <w:rFonts w:cstheme="minorHAnsi"/>
          <w:b/>
          <w:bCs/>
          <w:sz w:val="24"/>
          <w:szCs w:val="24"/>
        </w:rPr>
        <w:t xml:space="preserve">Matías Osiel Cárdénas</w:t>
      </w:r>
      <w:r>
        <w:rPr>
          <w:rFonts w:cstheme="minorHAnsi"/>
          <w:sz w:val="24"/>
          <w:szCs w:val="24"/>
        </w:rPr>
        <w:t xml:space="preserve"> – oktatási vezető</w:t>
      </w:r>
    </w:p>
    <w:p xmlns:a="http://schemas.openxmlformats.org/drawingml/2006/main" xmlns:pic="http://schemas.openxmlformats.org/drawingml/2006/picture"/>
    <w:p xmlns:a="http://schemas.openxmlformats.org/drawingml/2006/main" xmlns:pic="http://schemas.openxmlformats.org/drawingml/2006/picture"/>
    <w:p xmlns:a="http://schemas.openxmlformats.org/drawingml/2006/main" xmlns:pic="http://schemas.openxmlformats.org/drawingml/2006/picture"/>
    <w:p xmlns:a="http://schemas.openxmlformats.org/drawingml/2006/main" xmlns:pic="http://schemas.openxmlformats.org/drawingml/2006/picture">
      <w:r>
        <w:rPr>
          <w:noProof/>
        </w:rPr>
        <w:drawing>
          <wp:anchor distT="0" distB="0" distL="114300" distR="114300" simplePos="0" relativeHeight="251658256" behindDoc="1" locked="0" layoutInCell="1" allowOverlap="1">
            <wp:simplePos x="0" y="0"/>
            <wp:positionH relativeFrom="margin">
              <wp:posOffset>180000</wp:posOffset>
            </wp:positionH>
            <wp:positionV relativeFrom="paragraph">
              <wp:posOffset>-1620000</wp:posOffset>
            </wp:positionV>
            <wp:extent cx="2250000" cy="2232000"/>
            <wp:effectExtent l="0" t="0" r="0" b="0"/>
            <wp:wrapNone/>
            <wp:docPr id="900016" name="Kep 9000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16" name="Kep 900016"/>
                    <pic:cNvPicPr/>
                  </pic:nvPicPr>
                  <pic:blipFill>
                    <a:blip r:embed="rId13" cstate="print">
                      <a:alphaModFix amt="55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0000" cy="223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57" behindDoc="0" locked="0" layoutInCell="1" allowOverlap="1">
            <wp:simplePos x="0" y="0"/>
            <wp:positionH relativeFrom="margin">
              <wp:posOffset>3150000</wp:posOffset>
            </wp:positionH>
            <wp:positionV relativeFrom="paragraph">
              <wp:posOffset>-820000</wp:posOffset>
            </wp:positionV>
            <wp:extent cx="1450000" cy="790000"/>
            <wp:effectExtent l="0" t="0" r="0" b="0"/>
            <wp:wrapNone/>
            <wp:docPr id="900017" name="Kep 9000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17" name="Kep 90001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0000" cy="79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Pr>
        <w:ind w:left="2124"/>
      </w:pPr>
      <w:r>
        <w:rPr>
          <w:rFonts w:cstheme="minorHAnsi"/>
          <w:sz w:val="24"/>
          <w:szCs w:val="24"/>
        </w:rPr>
        <w:t xml:space="preserve">Jóváhagyó:		</w:t>
      </w:r>
      <w:r>
        <w:rPr>
          <w:rFonts w:cstheme="minorHAnsi"/>
          <w:b/>
          <w:bCs/>
          <w:sz w:val="24"/>
          <w:szCs w:val="24"/>
        </w:rPr>
        <w:t xml:space="preserve">Tyron Wolf</w:t>
      </w:r>
      <w:r>
        <w:rPr>
          <w:rFonts w:cstheme="minorHAnsi"/>
          <w:sz w:val="24"/>
          <w:szCs w:val="24"/>
        </w:rPr>
        <w:t xml:space="preserve"> – Los Santos elnöke</w:t>
      </w:r>
    </w:p>
    <w:sectPr w:rsidR="008A0D61" w:rsidRPr="00B97AB3" w:rsidSect="00A734E7">
      <w:headerReference w:type="default" r:id="rId15"/>
      <w:footerReference w:type="default" r:id="rId16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34B7C2" w14:textId="77777777" w:rsidR="00D932B0" w:rsidRDefault="00D932B0" w:rsidP="00C9237F">
      <w:pPr>
        <w:spacing w:after="0" w:line="240" w:lineRule="auto"/>
      </w:pPr>
      <w:r>
        <w:separator/>
      </w:r>
    </w:p>
  </w:endnote>
  <w:endnote w:type="continuationSeparator" w:id="0">
    <w:p w14:paraId="7FFD0A0D" w14:textId="77777777" w:rsidR="00D932B0" w:rsidRDefault="00D932B0" w:rsidP="00C923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51339654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57E32C3" w14:textId="07CF56FF" w:rsidR="00C9237F" w:rsidRDefault="00C9237F">
            <w:pPr>
              <w:pStyle w:val="llb"/>
              <w:jc w:val="center"/>
            </w:pPr>
            <w:r>
              <w:t xml:space="preserve">oldal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1ED7EDB" w14:textId="77777777" w:rsidR="00C9237F" w:rsidRDefault="00C9237F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58DFF" w14:textId="77777777" w:rsidR="00D932B0" w:rsidRDefault="00D932B0" w:rsidP="00C9237F">
      <w:pPr>
        <w:spacing w:after="0" w:line="240" w:lineRule="auto"/>
      </w:pPr>
      <w:r>
        <w:separator/>
      </w:r>
    </w:p>
  </w:footnote>
  <w:footnote w:type="continuationSeparator" w:id="0">
    <w:p w14:paraId="0745B6D9" w14:textId="77777777" w:rsidR="00D932B0" w:rsidRDefault="00D932B0" w:rsidP="00C923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5E92C" w14:textId="3EB7827D" w:rsidR="00A734E7" w:rsidRDefault="00A734E7">
    <w:pPr>
      <w:pStyle w:val="lfej"/>
    </w:pPr>
    <w:r w:rsidRPr="00151630">
      <w:rPr>
        <w:rFonts w:cstheme="minorHAnsi"/>
        <w:noProof/>
        <w:sz w:val="32"/>
        <w:szCs w:val="32"/>
      </w:rPr>
      <w:drawing>
        <wp:anchor distT="0" distB="0" distL="114300" distR="114300" simplePos="0" relativeHeight="251659264" behindDoc="0" locked="0" layoutInCell="1" allowOverlap="1" wp14:anchorId="18A364CC" wp14:editId="6DDE2D9F">
          <wp:simplePos x="0" y="0"/>
          <wp:positionH relativeFrom="margin">
            <wp:posOffset>5786755</wp:posOffset>
          </wp:positionH>
          <wp:positionV relativeFrom="paragraph">
            <wp:posOffset>-325120</wp:posOffset>
          </wp:positionV>
          <wp:extent cx="647700" cy="647700"/>
          <wp:effectExtent l="0" t="0" r="0" b="0"/>
          <wp:wrapNone/>
          <wp:docPr id="1418674142" name="Kép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9793660" name="Kép 629793660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7700" cy="647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xmlns:a="http://schemas.openxmlformats.org/drawingml/2006/main" xmlns:pic="http://schemas.openxmlformats.org/drawingml/2006/picture">
      <w:rPr>
        <w:rFonts w:cstheme="minorHAnsi"/>
        <w:spacing w:val="20"/>
      </w:rPr>
      <w:t xml:space="preserve">Titkosszolgálat – „E” – EGÉSZSÉGÜGYI OKTATÁS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0" type="#_x0000_t75" style="width:129.75pt;height:129.75pt;visibility:visible;mso-wrap-style:square" o:bullet="t">
        <v:imagedata r:id="rId1" o:title=""/>
      </v:shape>
    </w:pict>
  </w:numPicBullet>
  <w:abstractNum w:abstractNumId="0" w15:restartNumberingAfterBreak="0">
    <w:nsid w:val="00043C87"/>
    <w:multiLevelType w:val="hybridMultilevel"/>
    <w:tmpl w:val="A06A84D6"/>
    <w:lvl w:ilvl="0" w:tplc="9B3274E2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  <w:u w:val="single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4D5DCC"/>
    <w:multiLevelType w:val="multilevel"/>
    <w:tmpl w:val="45E4C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F1415"/>
    <w:multiLevelType w:val="multilevel"/>
    <w:tmpl w:val="2EF6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7766B"/>
    <w:multiLevelType w:val="hybridMultilevel"/>
    <w:tmpl w:val="89AAAC6A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EBD27FA"/>
    <w:multiLevelType w:val="multilevel"/>
    <w:tmpl w:val="C6984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364BD0"/>
    <w:multiLevelType w:val="hybridMultilevel"/>
    <w:tmpl w:val="8506A0F2"/>
    <w:lvl w:ilvl="0" w:tplc="B4F0F99E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FFF655F"/>
    <w:multiLevelType w:val="hybridMultilevel"/>
    <w:tmpl w:val="EF2ADD10"/>
    <w:lvl w:ilvl="0" w:tplc="B4F0F99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311387"/>
    <w:multiLevelType w:val="multilevel"/>
    <w:tmpl w:val="BE369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7B7199"/>
    <w:multiLevelType w:val="multilevel"/>
    <w:tmpl w:val="9C3C1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235474"/>
    <w:multiLevelType w:val="multilevel"/>
    <w:tmpl w:val="5532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090300"/>
    <w:multiLevelType w:val="multilevel"/>
    <w:tmpl w:val="8E42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9726DC"/>
    <w:multiLevelType w:val="hybridMultilevel"/>
    <w:tmpl w:val="20AE3CEC"/>
    <w:lvl w:ilvl="0" w:tplc="B4F0F99E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69B3ABA"/>
    <w:multiLevelType w:val="multilevel"/>
    <w:tmpl w:val="7AF4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9976E4"/>
    <w:multiLevelType w:val="multilevel"/>
    <w:tmpl w:val="9C5C1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870E78"/>
    <w:multiLevelType w:val="multilevel"/>
    <w:tmpl w:val="8FC86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D62B50"/>
    <w:multiLevelType w:val="multilevel"/>
    <w:tmpl w:val="B78C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9B3E03"/>
    <w:multiLevelType w:val="multilevel"/>
    <w:tmpl w:val="4DAAE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6B73B9"/>
    <w:multiLevelType w:val="multilevel"/>
    <w:tmpl w:val="93B8A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662613"/>
    <w:multiLevelType w:val="hybridMultilevel"/>
    <w:tmpl w:val="DB829330"/>
    <w:lvl w:ilvl="0" w:tplc="B4F0F99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C26C25"/>
    <w:multiLevelType w:val="hybridMultilevel"/>
    <w:tmpl w:val="0E9AA718"/>
    <w:lvl w:ilvl="0" w:tplc="83AAA8A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5F35DD"/>
    <w:multiLevelType w:val="multilevel"/>
    <w:tmpl w:val="5D88B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2917D8"/>
    <w:multiLevelType w:val="multilevel"/>
    <w:tmpl w:val="6CB6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C26DC7"/>
    <w:multiLevelType w:val="hybridMultilevel"/>
    <w:tmpl w:val="87FA2A82"/>
    <w:lvl w:ilvl="0" w:tplc="E154FF5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CE2291"/>
    <w:multiLevelType w:val="hybridMultilevel"/>
    <w:tmpl w:val="83EECA52"/>
    <w:lvl w:ilvl="0" w:tplc="47D8974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B182D2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6B0C97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886B3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B02535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37ED6A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76E556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6725F2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F0CC47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4" w15:restartNumberingAfterBreak="0">
    <w:nsid w:val="511C5D80"/>
    <w:multiLevelType w:val="multilevel"/>
    <w:tmpl w:val="976C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961198"/>
    <w:multiLevelType w:val="hybridMultilevel"/>
    <w:tmpl w:val="E0A8132E"/>
    <w:lvl w:ilvl="0" w:tplc="1EAC0172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54051F"/>
    <w:multiLevelType w:val="hybridMultilevel"/>
    <w:tmpl w:val="4552B822"/>
    <w:lvl w:ilvl="0" w:tplc="E59402C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773ACE"/>
    <w:multiLevelType w:val="multilevel"/>
    <w:tmpl w:val="837E0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2A6F0E"/>
    <w:multiLevelType w:val="multilevel"/>
    <w:tmpl w:val="8856E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3E3D1F"/>
    <w:multiLevelType w:val="multilevel"/>
    <w:tmpl w:val="35406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8A0645"/>
    <w:multiLevelType w:val="multilevel"/>
    <w:tmpl w:val="5E2C4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B21FD5"/>
    <w:multiLevelType w:val="multilevel"/>
    <w:tmpl w:val="E98C5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647EE0"/>
    <w:multiLevelType w:val="multilevel"/>
    <w:tmpl w:val="3AA08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C67CC1"/>
    <w:multiLevelType w:val="multilevel"/>
    <w:tmpl w:val="7A80E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737020"/>
    <w:multiLevelType w:val="multilevel"/>
    <w:tmpl w:val="6CB6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997DE6"/>
    <w:multiLevelType w:val="hybridMultilevel"/>
    <w:tmpl w:val="77E2B166"/>
    <w:lvl w:ilvl="0" w:tplc="B4F0F99E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7541C68"/>
    <w:multiLevelType w:val="multilevel"/>
    <w:tmpl w:val="0F220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64109D"/>
    <w:multiLevelType w:val="hybridMultilevel"/>
    <w:tmpl w:val="000AB9E2"/>
    <w:lvl w:ilvl="0" w:tplc="B4F0F99E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87A2B59"/>
    <w:multiLevelType w:val="hybridMultilevel"/>
    <w:tmpl w:val="55284FF0"/>
    <w:lvl w:ilvl="0" w:tplc="B4F0F99E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A392F4F"/>
    <w:multiLevelType w:val="multilevel"/>
    <w:tmpl w:val="6CB6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816436"/>
    <w:multiLevelType w:val="multilevel"/>
    <w:tmpl w:val="88C4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E75EFC"/>
    <w:multiLevelType w:val="multilevel"/>
    <w:tmpl w:val="6CB6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4377828">
    <w:abstractNumId w:val="10"/>
  </w:num>
  <w:num w:numId="2" w16cid:durableId="743914224">
    <w:abstractNumId w:val="12"/>
  </w:num>
  <w:num w:numId="3" w16cid:durableId="2007630745">
    <w:abstractNumId w:val="17"/>
  </w:num>
  <w:num w:numId="4" w16cid:durableId="2028864305">
    <w:abstractNumId w:val="15"/>
  </w:num>
  <w:num w:numId="5" w16cid:durableId="1627663927">
    <w:abstractNumId w:val="13"/>
  </w:num>
  <w:num w:numId="6" w16cid:durableId="1951275577">
    <w:abstractNumId w:val="14"/>
  </w:num>
  <w:num w:numId="7" w16cid:durableId="107893674">
    <w:abstractNumId w:val="16"/>
  </w:num>
  <w:num w:numId="8" w16cid:durableId="472911528">
    <w:abstractNumId w:val="31"/>
  </w:num>
  <w:num w:numId="9" w16cid:durableId="1252272893">
    <w:abstractNumId w:val="39"/>
  </w:num>
  <w:num w:numId="10" w16cid:durableId="874538917">
    <w:abstractNumId w:val="29"/>
  </w:num>
  <w:num w:numId="11" w16cid:durableId="1554347856">
    <w:abstractNumId w:val="32"/>
  </w:num>
  <w:num w:numId="12" w16cid:durableId="238367270">
    <w:abstractNumId w:val="7"/>
  </w:num>
  <w:num w:numId="13" w16cid:durableId="1186595489">
    <w:abstractNumId w:val="1"/>
  </w:num>
  <w:num w:numId="14" w16cid:durableId="1559782403">
    <w:abstractNumId w:val="3"/>
  </w:num>
  <w:num w:numId="15" w16cid:durableId="145710511">
    <w:abstractNumId w:val="0"/>
  </w:num>
  <w:num w:numId="16" w16cid:durableId="1566838914">
    <w:abstractNumId w:val="25"/>
  </w:num>
  <w:num w:numId="17" w16cid:durableId="394089910">
    <w:abstractNumId w:val="22"/>
  </w:num>
  <w:num w:numId="18" w16cid:durableId="934434473">
    <w:abstractNumId w:val="6"/>
  </w:num>
  <w:num w:numId="19" w16cid:durableId="1892838223">
    <w:abstractNumId w:val="35"/>
  </w:num>
  <w:num w:numId="20" w16cid:durableId="705134585">
    <w:abstractNumId w:val="18"/>
  </w:num>
  <w:num w:numId="21" w16cid:durableId="1283732225">
    <w:abstractNumId w:val="38"/>
  </w:num>
  <w:num w:numId="22" w16cid:durableId="2039116744">
    <w:abstractNumId w:val="5"/>
  </w:num>
  <w:num w:numId="23" w16cid:durableId="1140540494">
    <w:abstractNumId w:val="11"/>
  </w:num>
  <w:num w:numId="24" w16cid:durableId="1510873712">
    <w:abstractNumId w:val="37"/>
  </w:num>
  <w:num w:numId="25" w16cid:durableId="1798909125">
    <w:abstractNumId w:val="21"/>
  </w:num>
  <w:num w:numId="26" w16cid:durableId="1367176372">
    <w:abstractNumId w:val="41"/>
  </w:num>
  <w:num w:numId="27" w16cid:durableId="1595698886">
    <w:abstractNumId w:val="34"/>
  </w:num>
  <w:num w:numId="28" w16cid:durableId="394200883">
    <w:abstractNumId w:val="26"/>
  </w:num>
  <w:num w:numId="29" w16cid:durableId="1397892625">
    <w:abstractNumId w:val="9"/>
  </w:num>
  <w:num w:numId="30" w16cid:durableId="1370253232">
    <w:abstractNumId w:val="23"/>
  </w:num>
  <w:num w:numId="31" w16cid:durableId="917251479">
    <w:abstractNumId w:val="19"/>
  </w:num>
  <w:num w:numId="32" w16cid:durableId="805970355">
    <w:abstractNumId w:val="8"/>
  </w:num>
  <w:num w:numId="33" w16cid:durableId="1262224212">
    <w:abstractNumId w:val="36"/>
  </w:num>
  <w:num w:numId="34" w16cid:durableId="849216258">
    <w:abstractNumId w:val="2"/>
  </w:num>
  <w:num w:numId="35" w16cid:durableId="735128509">
    <w:abstractNumId w:val="4"/>
  </w:num>
  <w:num w:numId="36" w16cid:durableId="317467167">
    <w:abstractNumId w:val="28"/>
  </w:num>
  <w:num w:numId="37" w16cid:durableId="1479953874">
    <w:abstractNumId w:val="24"/>
  </w:num>
  <w:num w:numId="38" w16cid:durableId="1647008232">
    <w:abstractNumId w:val="20"/>
  </w:num>
  <w:num w:numId="39" w16cid:durableId="950550618">
    <w:abstractNumId w:val="30"/>
  </w:num>
  <w:num w:numId="40" w16cid:durableId="166987198">
    <w:abstractNumId w:val="40"/>
  </w:num>
  <w:num w:numId="41" w16cid:durableId="628240669">
    <w:abstractNumId w:val="33"/>
  </w:num>
  <w:num w:numId="42" w16cid:durableId="64489355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DB2"/>
    <w:rsid w:val="00030B95"/>
    <w:rsid w:val="00032EE3"/>
    <w:rsid w:val="000365FC"/>
    <w:rsid w:val="0004784F"/>
    <w:rsid w:val="000A1556"/>
    <w:rsid w:val="00121BA3"/>
    <w:rsid w:val="00131C25"/>
    <w:rsid w:val="001434B3"/>
    <w:rsid w:val="00151630"/>
    <w:rsid w:val="001A71A2"/>
    <w:rsid w:val="001B6380"/>
    <w:rsid w:val="001C7FA5"/>
    <w:rsid w:val="001E45B5"/>
    <w:rsid w:val="00206FE8"/>
    <w:rsid w:val="00224F7B"/>
    <w:rsid w:val="00294FB3"/>
    <w:rsid w:val="002E124A"/>
    <w:rsid w:val="002F76CB"/>
    <w:rsid w:val="003151F6"/>
    <w:rsid w:val="00393508"/>
    <w:rsid w:val="003A51CC"/>
    <w:rsid w:val="003C2044"/>
    <w:rsid w:val="004074CA"/>
    <w:rsid w:val="00411F58"/>
    <w:rsid w:val="00451CB5"/>
    <w:rsid w:val="00484DAC"/>
    <w:rsid w:val="004C6AF9"/>
    <w:rsid w:val="004D06E8"/>
    <w:rsid w:val="00500D96"/>
    <w:rsid w:val="005116E5"/>
    <w:rsid w:val="005A661C"/>
    <w:rsid w:val="005B621E"/>
    <w:rsid w:val="005E428F"/>
    <w:rsid w:val="005E7673"/>
    <w:rsid w:val="0063613B"/>
    <w:rsid w:val="00656B47"/>
    <w:rsid w:val="00686505"/>
    <w:rsid w:val="006A7914"/>
    <w:rsid w:val="006B270B"/>
    <w:rsid w:val="006E0D73"/>
    <w:rsid w:val="006F5389"/>
    <w:rsid w:val="00714A03"/>
    <w:rsid w:val="00732B51"/>
    <w:rsid w:val="00740C01"/>
    <w:rsid w:val="00754F73"/>
    <w:rsid w:val="00777564"/>
    <w:rsid w:val="007B7DF3"/>
    <w:rsid w:val="007C6FD3"/>
    <w:rsid w:val="007D5589"/>
    <w:rsid w:val="007D7BBA"/>
    <w:rsid w:val="007E4103"/>
    <w:rsid w:val="007E41E4"/>
    <w:rsid w:val="008035FA"/>
    <w:rsid w:val="00803DE5"/>
    <w:rsid w:val="008064E6"/>
    <w:rsid w:val="00816513"/>
    <w:rsid w:val="0083469A"/>
    <w:rsid w:val="00883A4E"/>
    <w:rsid w:val="00890CF6"/>
    <w:rsid w:val="008A0D61"/>
    <w:rsid w:val="008E528B"/>
    <w:rsid w:val="00927547"/>
    <w:rsid w:val="009566E8"/>
    <w:rsid w:val="00962512"/>
    <w:rsid w:val="00962722"/>
    <w:rsid w:val="00985384"/>
    <w:rsid w:val="0099796F"/>
    <w:rsid w:val="00997F34"/>
    <w:rsid w:val="009A0236"/>
    <w:rsid w:val="009A719C"/>
    <w:rsid w:val="009B2A0B"/>
    <w:rsid w:val="00A17EE5"/>
    <w:rsid w:val="00A20EAD"/>
    <w:rsid w:val="00A25FD2"/>
    <w:rsid w:val="00A26249"/>
    <w:rsid w:val="00A317CE"/>
    <w:rsid w:val="00A5720C"/>
    <w:rsid w:val="00A734E7"/>
    <w:rsid w:val="00A747FB"/>
    <w:rsid w:val="00A8543D"/>
    <w:rsid w:val="00AB0E70"/>
    <w:rsid w:val="00AC61BE"/>
    <w:rsid w:val="00AD56C0"/>
    <w:rsid w:val="00AF4D9B"/>
    <w:rsid w:val="00B06E23"/>
    <w:rsid w:val="00B24B05"/>
    <w:rsid w:val="00B273EE"/>
    <w:rsid w:val="00B822BD"/>
    <w:rsid w:val="00B97AB3"/>
    <w:rsid w:val="00BE3838"/>
    <w:rsid w:val="00BE4267"/>
    <w:rsid w:val="00C3533D"/>
    <w:rsid w:val="00C9237F"/>
    <w:rsid w:val="00CE2F3F"/>
    <w:rsid w:val="00D04D36"/>
    <w:rsid w:val="00D55DB2"/>
    <w:rsid w:val="00D77073"/>
    <w:rsid w:val="00D932B0"/>
    <w:rsid w:val="00DB3A82"/>
    <w:rsid w:val="00DC4365"/>
    <w:rsid w:val="00DD19E0"/>
    <w:rsid w:val="00DE24BD"/>
    <w:rsid w:val="00DE4097"/>
    <w:rsid w:val="00E00C71"/>
    <w:rsid w:val="00E2427A"/>
    <w:rsid w:val="00E33806"/>
    <w:rsid w:val="00E53BEE"/>
    <w:rsid w:val="00E5670F"/>
    <w:rsid w:val="00E9130E"/>
    <w:rsid w:val="00E951F5"/>
    <w:rsid w:val="00EC56E5"/>
    <w:rsid w:val="00EF28D4"/>
    <w:rsid w:val="00F30626"/>
    <w:rsid w:val="00F32F6B"/>
    <w:rsid w:val="00F61D3F"/>
    <w:rsid w:val="00F80210"/>
    <w:rsid w:val="00F97AEC"/>
    <w:rsid w:val="00F97D7E"/>
    <w:rsid w:val="00FB0CA7"/>
    <w:rsid w:val="00FD2AFE"/>
    <w:rsid w:val="00FD3219"/>
    <w:rsid w:val="00FD7603"/>
    <w:rsid w:val="00FF1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2BB604"/>
  <w15:chartTrackingRefBased/>
  <w15:docId w15:val="{EE39ADE6-E9DC-4EFC-AB84-943A43F53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D55D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D55D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D55D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D55D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D55D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D55D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D55D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D55D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D55D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D55D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D55D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D55D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D55DB2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D55DB2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D55DB2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D55DB2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D55DB2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D55DB2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D55D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D55D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D55D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D55D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D55D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D55DB2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D55DB2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D55DB2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D55D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D55DB2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D55DB2"/>
    <w:rPr>
      <w:b/>
      <w:bCs/>
      <w:smallCaps/>
      <w:color w:val="2F5496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C9237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9237F"/>
  </w:style>
  <w:style w:type="paragraph" w:styleId="llb">
    <w:name w:val="footer"/>
    <w:basedOn w:val="Norml"/>
    <w:link w:val="llbChar"/>
    <w:uiPriority w:val="99"/>
    <w:unhideWhenUsed/>
    <w:rsid w:val="00C9237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9237F"/>
  </w:style>
  <w:style w:type="table" w:styleId="Rcsostblzat">
    <w:name w:val="Table Grid"/>
    <w:basedOn w:val="Normltblzat"/>
    <w:uiPriority w:val="39"/>
    <w:rsid w:val="006A79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60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5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5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2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5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7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95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1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5440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327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575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696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01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5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0137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77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2298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44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4" Type="http://schemas.openxmlformats.org/officeDocument/2006/relationships/settings" Target="settings.xml"/><Relationship Id="rId8" Type="http://schemas.openxmlformats.org/officeDocument/2006/relationships/image" Target="media/image3.png"/><Relationship Id="rId9" Type="http://schemas.openxmlformats.org/officeDocument/2006/relationships/image" Target="media/image4.jp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C07B17-10AE-4CC2-80AC-81614F4774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1</Pages>
  <Words>1738</Words>
  <Characters>11995</Characters>
  <Application>Microsoft Office Word</Application>
  <DocSecurity>0</DocSecurity>
  <Lines>99</Lines>
  <Paragraphs>27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Tamás Gál</dc:creator>
  <cp:keywords/>
  <dc:description/>
  <cp:lastModifiedBy>Tamás Gál</cp:lastModifiedBy>
  <cp:revision>21</cp:revision>
  <cp:lastPrinted>2025-08-08T08:22:00Z</cp:lastPrinted>
  <dcterms:created xsi:type="dcterms:W3CDTF">2025-07-23T09:48:00Z</dcterms:created>
  <dcterms:modified xsi:type="dcterms:W3CDTF">2025-08-08T08:22:00Z</dcterms:modified>
</cp:coreProperties>
</file>