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2A6" w:rsidRPr="00B272A6" w:rsidRDefault="00B272A6" w:rsidP="00B272A6">
      <w:pPr>
        <w:shd w:val="clear" w:color="auto" w:fill="FFFFFF"/>
        <w:spacing w:before="300" w:after="150" w:line="240" w:lineRule="auto"/>
        <w:jc w:val="both"/>
        <w:outlineLvl w:val="2"/>
        <w:rPr>
          <w:rFonts w:ascii="open_sansregular" w:eastAsia="Times New Roman" w:hAnsi="open_sansregular" w:cs="Times New Roman"/>
          <w:color w:val="333333"/>
          <w:sz w:val="36"/>
          <w:szCs w:val="36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A.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Periode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Penerimaan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Dan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Waktu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Mahasiswa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Waktu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penerimaan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terbagi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2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periode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yaitu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Periode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Oktober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Periode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Maret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periode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terdiri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2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pilihan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yaitu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: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1. 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Kelas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Reguler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Paruh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Waktu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pembelajaran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dilaksanakan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Senin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sampai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Sabtu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pukul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19.00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sd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21.30 (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kecuali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sabtu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pukul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15.30 sd. 18.00). Total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pertemuan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perkuliahan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6 kali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perminggu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2. 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Kelas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Reguler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Penuh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Waktu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pembelajaran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dilaksanakan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Jumat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pukul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13. 00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sd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21.30)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Sabtu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(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pukul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09.00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sd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18.00).  Total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pertemuan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perkuliahan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6 kali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perminggu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before="300" w:after="150" w:line="240" w:lineRule="auto"/>
        <w:jc w:val="both"/>
        <w:outlineLvl w:val="2"/>
        <w:rPr>
          <w:rFonts w:ascii="open_sansregular" w:eastAsia="Times New Roman" w:hAnsi="open_sansregular" w:cs="Times New Roman"/>
          <w:color w:val="333333"/>
          <w:sz w:val="36"/>
          <w:szCs w:val="36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B.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Syarat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Penerimaan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baru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Program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Manajemen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Rumah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Sakit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PPS UMY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Calon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mengajukan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lamaran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pendaftaran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secara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tertulis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mengisi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blangko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isian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tersedia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dialamatkan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kepada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Ketua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Program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Manejemen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Rumah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Sakit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PPS UMY, yang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dilampiri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:</w:t>
      </w:r>
      <w:proofErr w:type="gramEnd"/>
    </w:p>
    <w:p w:rsidR="00B272A6" w:rsidRPr="00B272A6" w:rsidRDefault="00B272A6" w:rsidP="00B272A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Salinan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ijazah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S-1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transkrip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akademik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disahkan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 (minimal IPK 2,75</w:t>
      </w:r>
    </w:p>
    <w:p w:rsidR="00B272A6" w:rsidRPr="00B272A6" w:rsidRDefault="00B272A6" w:rsidP="00B272A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Daftar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Riwayat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hidup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(CV)</w:t>
      </w:r>
    </w:p>
    <w:p w:rsidR="00B272A6" w:rsidRPr="00B272A6" w:rsidRDefault="00B272A6" w:rsidP="00B272A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Surat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keterangan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jaminan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pelunasan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biaya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instansi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pernyataan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kesanggupan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biaya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sendiri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/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keluarga</w:t>
      </w:r>
      <w:proofErr w:type="spellEnd"/>
    </w:p>
    <w:p w:rsidR="00B272A6" w:rsidRPr="00B272A6" w:rsidRDefault="00B272A6" w:rsidP="00B272A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Bukti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pembayaran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biaya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administrasi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pendaftaran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/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seleksi</w:t>
      </w:r>
      <w:proofErr w:type="spellEnd"/>
    </w:p>
    <w:p w:rsidR="00B272A6" w:rsidRPr="00B272A6" w:rsidRDefault="00B272A6" w:rsidP="00B272A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Sertifikat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hasil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kemampuan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Bahasa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Inggris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skor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minimal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ITP TOEFL 500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dibuktikan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sertifikat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masih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berlaku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yaitu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maksimum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2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tahun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tanggal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dikeluarkannya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sertifikat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Pas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foto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berwarna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(3 x 4) 2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lembar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Bagi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</w:t>
      </w:r>
      <w:r w:rsidRPr="00B272A6">
        <w:rPr>
          <w:rFonts w:ascii="open_sansregular" w:eastAsia="Times New Roman" w:hAnsi="open_sansregular" w:cs="Times New Roman"/>
          <w:i/>
          <w:iCs/>
          <w:color w:val="333333"/>
          <w:sz w:val="21"/>
          <w:szCs w:val="21"/>
        </w:rPr>
        <w:t>dual degree</w:t>
      </w:r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diwajibkan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mengikuti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Psikotest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before="300" w:after="150" w:line="240" w:lineRule="auto"/>
        <w:jc w:val="both"/>
        <w:outlineLvl w:val="2"/>
        <w:rPr>
          <w:rFonts w:ascii="open_sansregular" w:eastAsia="Times New Roman" w:hAnsi="open_sansregular" w:cs="Times New Roman"/>
          <w:color w:val="333333"/>
          <w:sz w:val="36"/>
          <w:szCs w:val="36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C.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Masa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Studi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Masa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efektif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Program S2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Manajemen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Rumah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Sakit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(MMR</w:t>
      </w:r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)  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adalah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24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bulan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Terbagi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 18</w:t>
      </w:r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bulan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belajar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kampus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residensi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6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bulan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penyusunan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tesis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(total 4 semester)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Beban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pendidikan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44 SKS,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termasuk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tesis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bobotnya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6 SKS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Residensi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bobotnya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1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sks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Beban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pendidikan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ditempuh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oleh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batas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 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waktu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maksimal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ditentukan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yaitu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2n+1,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dimana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n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lamanya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belajar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mengajar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efektif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total 5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tahun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Apabila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batas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masa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dilampaui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mengajukan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perpanjangan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maksimal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1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tahun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Permohonan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perpanjangan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disetujui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pertimbangan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khusus</w:t>
      </w:r>
      <w:proofErr w:type="spellEnd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,  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misal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melakukan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penelitian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Syarat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pengajuan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perpanjangan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sudah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membayar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seluruh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total SPP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prosedur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perpanjangan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sebagai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berikut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:</w:t>
      </w:r>
      <w:proofErr w:type="gramEnd"/>
    </w:p>
    <w:p w:rsidR="00B272A6" w:rsidRPr="00B272A6" w:rsidRDefault="00B272A6" w:rsidP="00B272A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lastRenderedPageBreak/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mengajukan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permohonan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secara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tertulis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kepada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Ketua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 Program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MMR UMY (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contoh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lihat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lampiran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2)</w:t>
      </w:r>
    </w:p>
    <w:p w:rsidR="00B272A6" w:rsidRPr="00B272A6" w:rsidRDefault="00B272A6" w:rsidP="00B272A6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Setelah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menerima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surat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resmi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persetujuan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membayar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biaya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perpanjangan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sesuai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ketentuan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berlaku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diberikan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bukti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perpanjangan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studi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before="300" w:after="150" w:line="240" w:lineRule="auto"/>
        <w:jc w:val="both"/>
        <w:outlineLvl w:val="2"/>
        <w:rPr>
          <w:rFonts w:ascii="open_sansregular" w:eastAsia="Times New Roman" w:hAnsi="open_sansregular" w:cs="Times New Roman"/>
          <w:color w:val="333333"/>
          <w:sz w:val="36"/>
          <w:szCs w:val="36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D.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Sistem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Pendidikan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Pelaksanaan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program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pendidikan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berupa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mata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ditentukan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semester.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mata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dihitung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bobotnya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Satuan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Kredit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Semester (SKS).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Lamanya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program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pendidikan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semester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antara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2-5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bulan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tergantung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besarnya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SKS di semester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tersebut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Adapun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pembagian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SKS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Semester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dilakukan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berdasarkan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pertimbangan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pencapaian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kompetensi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terstruktur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bertahap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,</w:t>
      </w:r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sehingga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diharapkan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</w:t>
      </w:r>
      <w:r w:rsidRPr="00B272A6">
        <w:rPr>
          <w:rFonts w:ascii="open_sansregular" w:eastAsia="Times New Roman" w:hAnsi="open_sansregular" w:cs="Times New Roman"/>
          <w:i/>
          <w:iCs/>
          <w:color w:val="333333"/>
          <w:sz w:val="21"/>
          <w:szCs w:val="21"/>
        </w:rPr>
        <w:t>knowledge, skill</w:t>
      </w:r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</w:t>
      </w:r>
      <w:r w:rsidRPr="00B272A6">
        <w:rPr>
          <w:rFonts w:ascii="open_sansregular" w:eastAsia="Times New Roman" w:hAnsi="open_sansregular" w:cs="Times New Roman"/>
          <w:i/>
          <w:iCs/>
          <w:color w:val="333333"/>
          <w:sz w:val="21"/>
          <w:szCs w:val="21"/>
        </w:rPr>
        <w:t>attitude</w:t>
      </w:r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ditargetkan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kompetensi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lulusan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tercapai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Adapun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pembagian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SKS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semester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diatur</w:t>
      </w:r>
      <w:proofErr w:type="spellEnd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sebagai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berikut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:</w:t>
      </w:r>
    </w:p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8"/>
        <w:gridCol w:w="4005"/>
        <w:gridCol w:w="5677"/>
      </w:tblGrid>
      <w:tr w:rsidR="00B272A6" w:rsidRPr="00B272A6" w:rsidTr="00B272A6">
        <w:tc>
          <w:tcPr>
            <w:tcW w:w="319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150" w:line="315" w:lineRule="atLeast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S</w:t>
            </w: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EMESTER</w:t>
            </w:r>
          </w:p>
        </w:tc>
        <w:tc>
          <w:tcPr>
            <w:tcW w:w="172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SKS</w:t>
            </w:r>
          </w:p>
        </w:tc>
        <w:tc>
          <w:tcPr>
            <w:tcW w:w="244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150" w:line="315" w:lineRule="atLeast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JUMLAH MATA KULIAH</w:t>
            </w:r>
          </w:p>
        </w:tc>
      </w:tr>
      <w:tr w:rsidR="00B272A6" w:rsidRPr="00B272A6" w:rsidTr="00B272A6">
        <w:tc>
          <w:tcPr>
            <w:tcW w:w="319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proofErr w:type="spellStart"/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Matrikulasi</w:t>
            </w:r>
            <w:proofErr w:type="spellEnd"/>
          </w:p>
        </w:tc>
        <w:tc>
          <w:tcPr>
            <w:tcW w:w="172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150" w:line="315" w:lineRule="atLeast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non SKS</w:t>
            </w:r>
          </w:p>
        </w:tc>
        <w:tc>
          <w:tcPr>
            <w:tcW w:w="244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2</w:t>
            </w:r>
          </w:p>
        </w:tc>
      </w:tr>
      <w:tr w:rsidR="00B272A6" w:rsidRPr="00B272A6" w:rsidTr="00B272A6">
        <w:tc>
          <w:tcPr>
            <w:tcW w:w="319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Semester 1</w:t>
            </w:r>
          </w:p>
        </w:tc>
        <w:tc>
          <w:tcPr>
            <w:tcW w:w="172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150" w:line="315" w:lineRule="atLeast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17</w:t>
            </w:r>
          </w:p>
        </w:tc>
        <w:tc>
          <w:tcPr>
            <w:tcW w:w="244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150" w:line="315" w:lineRule="atLeast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7</w:t>
            </w:r>
          </w:p>
        </w:tc>
      </w:tr>
      <w:tr w:rsidR="00B272A6" w:rsidRPr="00B272A6" w:rsidTr="00B272A6">
        <w:tc>
          <w:tcPr>
            <w:tcW w:w="319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Semester 2</w:t>
            </w:r>
          </w:p>
        </w:tc>
        <w:tc>
          <w:tcPr>
            <w:tcW w:w="172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150" w:line="315" w:lineRule="atLeast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 6</w:t>
            </w:r>
          </w:p>
        </w:tc>
        <w:tc>
          <w:tcPr>
            <w:tcW w:w="244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150" w:line="315" w:lineRule="atLeast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7</w:t>
            </w:r>
          </w:p>
        </w:tc>
      </w:tr>
      <w:tr w:rsidR="00B272A6" w:rsidRPr="00B272A6" w:rsidTr="00B272A6">
        <w:tc>
          <w:tcPr>
            <w:tcW w:w="319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Semester 3</w:t>
            </w:r>
          </w:p>
        </w:tc>
        <w:tc>
          <w:tcPr>
            <w:tcW w:w="172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150" w:line="315" w:lineRule="atLeast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11</w:t>
            </w:r>
          </w:p>
        </w:tc>
        <w:tc>
          <w:tcPr>
            <w:tcW w:w="244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150" w:line="315" w:lineRule="atLeast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–</w:t>
            </w:r>
          </w:p>
        </w:tc>
      </w:tr>
      <w:tr w:rsidR="00B272A6" w:rsidRPr="00B272A6" w:rsidTr="00B272A6">
        <w:tc>
          <w:tcPr>
            <w:tcW w:w="319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172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 44 SKS</w:t>
            </w:r>
          </w:p>
        </w:tc>
        <w:tc>
          <w:tcPr>
            <w:tcW w:w="244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150" w:line="315" w:lineRule="atLeast"/>
              <w:jc w:val="center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b/>
                <w:bCs/>
                <w:color w:val="333333"/>
                <w:sz w:val="21"/>
                <w:szCs w:val="21"/>
              </w:rPr>
              <w:t>16</w:t>
            </w:r>
          </w:p>
        </w:tc>
      </w:tr>
    </w:tbl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br/>
        <w:t>E.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Pembelajaran</w:t>
      </w:r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Matrikulasi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diberikan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sebagai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kompetensi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tambahan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wajib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diikuti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seluruh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meskipun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non SKS,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tujuan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mempersiapkan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berbagai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latar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belakang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pendidikan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S1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memiliki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</w:t>
      </w:r>
      <w:r w:rsidRPr="00B272A6">
        <w:rPr>
          <w:rFonts w:ascii="open_sansregular" w:eastAsia="Times New Roman" w:hAnsi="open_sansregular" w:cs="Times New Roman"/>
          <w:i/>
          <w:iCs/>
          <w:color w:val="333333"/>
          <w:sz w:val="21"/>
          <w:szCs w:val="21"/>
        </w:rPr>
        <w:t>prior knowledge</w:t>
      </w:r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memadai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dalam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menerima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perkuliahan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MMR UMY.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Perkuliahan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dilaksanakan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(6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per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minggu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),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1 SKS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50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menit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x 16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tatap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muka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termasuk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ujian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).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Lamanya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belajar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kampus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per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3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(1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@ 50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menit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)</w:t>
      </w:r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2,5 jam,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waktu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perkuliahan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sore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malam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pembelajaran</w:t>
      </w:r>
      <w:proofErr w:type="spellEnd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dilaksanakan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 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malam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Senin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–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Jum’at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(19.00 – 21.30 WIB),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sore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 (15.30 – 18.00 WIB)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Sabtu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 </w:t>
      </w:r>
      <w:r w:rsidRPr="00B272A6">
        <w:rPr>
          <w:rFonts w:ascii="open_sansregular" w:eastAsia="Times New Roman" w:hAnsi="open_sansregular" w:cs="Times New Roman"/>
          <w:i/>
          <w:iCs/>
          <w:color w:val="333333"/>
          <w:sz w:val="21"/>
          <w:szCs w:val="21"/>
        </w:rPr>
        <w:t>Field site teaching</w:t>
      </w:r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/FST  (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pembelajaran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lapangan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).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Adapun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belajar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mengajar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 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terdiri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: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1. 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Kuliah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Merupakan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60%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total</w:t>
      </w:r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pembelajaran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dosen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lebih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banyak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menyampaikan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hal-hal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bersifat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konsep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diharapkan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topik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dosen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menyediakan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kasus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sebagai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trigger </w:t>
      </w:r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</w:t>
      </w:r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meningkatkan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partisipasi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aktif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pemahaman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konsep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i/>
          <w:iCs/>
          <w:color w:val="333333"/>
          <w:sz w:val="21"/>
          <w:szCs w:val="21"/>
        </w:rPr>
        <w:lastRenderedPageBreak/>
        <w:t>2. 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i/>
          <w:iCs/>
          <w:color w:val="333333"/>
          <w:sz w:val="21"/>
          <w:szCs w:val="21"/>
        </w:rPr>
        <w:t>Audioconference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Merupakan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perkuliahan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tetapi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dosen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tidak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hadir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).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Materi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dosen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diberikan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langsung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melalui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suara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jarak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jauh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Disediakan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1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dosen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sebagai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moderator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,</w:t>
      </w:r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 yang</w:t>
      </w:r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membantu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menampilkan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slide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sebagai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fasilitator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antara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pemberi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audioconference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memfasilitasi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dosen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expert/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pakar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luar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kota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/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luar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pulau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tetapi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karena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kesibukannya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tidak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datang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tempat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i/>
          <w:iCs/>
          <w:color w:val="333333"/>
          <w:sz w:val="21"/>
          <w:szCs w:val="21"/>
        </w:rPr>
        <w:t>3. Teleconference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Fasilitas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melakukan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komunikasi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antara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dua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orang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lebih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secara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serempak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dalam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pengertian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waktu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sama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(real time),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demikian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berarti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komunikasi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dilakukan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komunikasi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sinkron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Fasilitas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digunakan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melakukan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diskusi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secara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tertulis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mengenai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topik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tertentu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dibuat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oleh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dosen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kemudian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direspon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oleh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i/>
          <w:iCs/>
          <w:color w:val="333333"/>
          <w:sz w:val="21"/>
          <w:szCs w:val="21"/>
        </w:rPr>
        <w:t>4. Skill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Skill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bertujuan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melatih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ketrampilan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</w:t>
      </w:r>
      <w:r w:rsidRPr="00B272A6">
        <w:rPr>
          <w:rFonts w:ascii="open_sansregular" w:eastAsia="Times New Roman" w:hAnsi="open_sansregular" w:cs="Times New Roman"/>
          <w:i/>
          <w:iCs/>
          <w:color w:val="333333"/>
          <w:sz w:val="21"/>
          <w:szCs w:val="21"/>
        </w:rPr>
        <w:t>managerial</w:t>
      </w:r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cara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memberikan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kesempatan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berlatih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menggunakan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cek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list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sudah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disediakan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didampingi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 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instruktur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(1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instruktur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10-15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).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menunjang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disediakan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laboratorium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komunikasi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i/>
          <w:iCs/>
          <w:color w:val="333333"/>
          <w:sz w:val="21"/>
          <w:szCs w:val="21"/>
        </w:rPr>
        <w:t>5. Tutorial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diskusi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kelompok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kecil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dimana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kelompok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beranggotakan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sekitar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10-15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dibantu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oleh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tutor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bertugas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sebagai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fasilitator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akan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dihadapkan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kasus-kasus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managemen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sebagai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triger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diskusi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Tutor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akan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membantu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dalam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diskusi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mencapai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tujuan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belajar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tanpa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banyak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mengintervensi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diskusi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maupun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memberikan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penjelasan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panjang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lebar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diharapkan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senantiasa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berani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mengemukanan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analisanya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Kasus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akan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diberikan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beberapa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sebelum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memberikan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kesempatan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belajar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mandiri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6. </w:t>
      </w:r>
      <w:r w:rsidRPr="00B272A6">
        <w:rPr>
          <w:rFonts w:ascii="open_sansregular" w:eastAsia="Times New Roman" w:hAnsi="open_sansregular" w:cs="Times New Roman"/>
          <w:b/>
          <w:bCs/>
          <w:i/>
          <w:iCs/>
          <w:color w:val="333333"/>
          <w:sz w:val="21"/>
          <w:szCs w:val="21"/>
        </w:rPr>
        <w:t>Field Site Teaching</w:t>
      </w: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/FST (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pembelajaran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lapangan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)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berupa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kunjungan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tempat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pelayanan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kesehatan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unit/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instalasi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sesuai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topik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sehingga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kesempatan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melihat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merasakan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mendengarkan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berdiskusi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  para</w:t>
      </w:r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pembimbing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lapangan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yaitu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praktisi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bidangnya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)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tentang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hal-hal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tidak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 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didapatkan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7. 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Praktikum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Praktikum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bertujuan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selain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meningkatkan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pemahaman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pengetahuan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sudah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juga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menambah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ketrampilan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menunjang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disediakan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laboratorium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komputer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instruktur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kelompok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(10- 15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)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8.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Presentasi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kasus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kesempatan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baik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individu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kelompok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mempresentasikan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tugas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diberikan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dosen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hasil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FST.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9.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Tugas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lastRenderedPageBreak/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harus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menyelesaikan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tugas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diberikan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dosen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baik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secara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individu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maupun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kelompok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 {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Pemberian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tugas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dimaksudkan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meningkatan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pengetahuan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wawasan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secara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mandiri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terhadap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suatu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topik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penyelesaian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kasus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10.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Refleksi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kasus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mahasiswa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melakukan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observasi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Rumah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Sakit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terhadap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topik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sudah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ditetapkan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oleh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dosen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Kegiatan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dilaksanakan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pada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FST (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pembelajaran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di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lapangan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).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Observasi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ini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bertujuan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dapat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merefleksikan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hal-hal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dirasakan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dilihat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didengar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dianggap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bermasalah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dalam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tulisan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singkat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.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Adapun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format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Refleksi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kasus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adalah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sbb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.:</w:t>
      </w:r>
      <w:proofErr w:type="gramEnd"/>
    </w:p>
    <w:p w:rsidR="00B272A6" w:rsidRPr="00B272A6" w:rsidRDefault="00B272A6" w:rsidP="00B272A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Kasus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(± 2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baris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)</w:t>
      </w:r>
    </w:p>
    <w:p w:rsidR="00B272A6" w:rsidRPr="00B272A6" w:rsidRDefault="00B272A6" w:rsidP="00B272A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Permasalahan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(± 5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baris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)</w:t>
      </w:r>
    </w:p>
    <w:p w:rsidR="00B272A6" w:rsidRPr="00B272A6" w:rsidRDefault="00B272A6" w:rsidP="00B272A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Analisis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 (± 10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baris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)</w:t>
      </w:r>
    </w:p>
    <w:p w:rsidR="00B272A6" w:rsidRPr="00B272A6" w:rsidRDefault="00B272A6" w:rsidP="00B272A6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ind w:left="300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Referensi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digunakan</w:t>
      </w:r>
      <w:proofErr w:type="spellEnd"/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21"/>
          <w:szCs w:val="21"/>
        </w:rPr>
        <w:t>11. Workshop – seminar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Beberapa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topik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akan</w:t>
      </w:r>
      <w:proofErr w:type="spellEnd"/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disampaikan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dalam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bentuk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workshop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seminar.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r w:rsidRPr="00B272A6">
        <w:rPr>
          <w:rFonts w:ascii="open_sansregular" w:eastAsia="Times New Roman" w:hAnsi="open_sansregular" w:cs="Times New Roman"/>
          <w:b/>
          <w:bCs/>
          <w:i/>
          <w:iCs/>
          <w:color w:val="333333"/>
          <w:sz w:val="21"/>
          <w:szCs w:val="21"/>
        </w:rPr>
        <w:t>12. Benchmarking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Bencmarking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sebagai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suatu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proses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belajar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berlangsung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secara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sistematis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terus-menerus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dimana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setiap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bagian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suatu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Rumah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Sakit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dibandingkan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Rumah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proofErr w:type="gram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Sakit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 yang</w:t>
      </w:r>
      <w:proofErr w:type="gram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terbaik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atau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pesaing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yang paling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unggul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.</w:t>
      </w:r>
    </w:p>
    <w:p w:rsidR="00B272A6" w:rsidRPr="00B272A6" w:rsidRDefault="00B272A6" w:rsidP="00B272A6">
      <w:pPr>
        <w:shd w:val="clear" w:color="auto" w:fill="FFFFFF"/>
        <w:spacing w:before="300" w:after="150" w:line="240" w:lineRule="auto"/>
        <w:jc w:val="both"/>
        <w:outlineLvl w:val="2"/>
        <w:rPr>
          <w:rFonts w:ascii="open_sansregular" w:eastAsia="Times New Roman" w:hAnsi="open_sansregular" w:cs="Times New Roman"/>
          <w:color w:val="333333"/>
          <w:sz w:val="36"/>
          <w:szCs w:val="36"/>
        </w:rPr>
      </w:pPr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F. </w:t>
      </w:r>
      <w:proofErr w:type="spellStart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>Kurikulum</w:t>
      </w:r>
      <w:proofErr w:type="spellEnd"/>
      <w:r w:rsidRPr="00B272A6">
        <w:rPr>
          <w:rFonts w:ascii="open_sansregular" w:eastAsia="Times New Roman" w:hAnsi="open_sansregular" w:cs="Times New Roman"/>
          <w:b/>
          <w:bCs/>
          <w:color w:val="333333"/>
          <w:sz w:val="36"/>
          <w:szCs w:val="36"/>
        </w:rPr>
        <w:t xml:space="preserve"> Mapping</w:t>
      </w:r>
    </w:p>
    <w:p w:rsidR="00B272A6" w:rsidRPr="00B272A6" w:rsidRDefault="00B272A6" w:rsidP="00B272A6">
      <w:pPr>
        <w:shd w:val="clear" w:color="auto" w:fill="FFFFFF"/>
        <w:spacing w:after="150" w:line="315" w:lineRule="atLeast"/>
        <w:jc w:val="both"/>
        <w:rPr>
          <w:rFonts w:ascii="open_sansregular" w:eastAsia="Times New Roman" w:hAnsi="open_sansregular" w:cs="Times New Roman"/>
          <w:color w:val="333333"/>
          <w:sz w:val="21"/>
          <w:szCs w:val="21"/>
        </w:rPr>
      </w:pP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Kurikulum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MMR UMY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terdiri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dari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4 semester,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dengan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mata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kuliah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sebagai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 xml:space="preserve"> </w:t>
      </w:r>
      <w:proofErr w:type="spellStart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berikut</w:t>
      </w:r>
      <w:proofErr w:type="spellEnd"/>
      <w:r w:rsidRPr="00B272A6">
        <w:rPr>
          <w:rFonts w:ascii="open_sansregular" w:eastAsia="Times New Roman" w:hAnsi="open_sansregular" w:cs="Times New Roman"/>
          <w:color w:val="333333"/>
          <w:sz w:val="21"/>
          <w:szCs w:val="21"/>
        </w:rPr>
        <w:t>:</w:t>
      </w:r>
    </w:p>
    <w:tbl>
      <w:tblPr>
        <w:tblW w:w="171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7"/>
        <w:gridCol w:w="9469"/>
        <w:gridCol w:w="2056"/>
        <w:gridCol w:w="2648"/>
      </w:tblGrid>
      <w:tr w:rsidR="00B272A6" w:rsidRPr="00B272A6" w:rsidTr="00B272A6">
        <w:trPr>
          <w:trHeight w:val="330"/>
        </w:trPr>
        <w:tc>
          <w:tcPr>
            <w:tcW w:w="1410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Semester</w:t>
            </w:r>
          </w:p>
        </w:tc>
        <w:tc>
          <w:tcPr>
            <w:tcW w:w="4560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Mata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Kuliah</w:t>
            </w:r>
            <w:proofErr w:type="spellEnd"/>
          </w:p>
        </w:tc>
        <w:tc>
          <w:tcPr>
            <w:tcW w:w="990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SKS</w:t>
            </w:r>
          </w:p>
        </w:tc>
        <w:tc>
          <w:tcPr>
            <w:tcW w:w="127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Total</w:t>
            </w:r>
          </w:p>
        </w:tc>
      </w:tr>
      <w:tr w:rsidR="00B272A6" w:rsidRPr="00B272A6" w:rsidTr="00B272A6">
        <w:trPr>
          <w:trHeight w:val="651"/>
        </w:trPr>
        <w:tc>
          <w:tcPr>
            <w:tcW w:w="1410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Matrikulasi</w:t>
            </w:r>
            <w:proofErr w:type="spellEnd"/>
          </w:p>
        </w:tc>
        <w:tc>
          <w:tcPr>
            <w:tcW w:w="4560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1.     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Dasar-dasar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Manajemen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RS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2.     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Pengantar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M.Keuangan</w:t>
            </w:r>
            <w:proofErr w:type="spellEnd"/>
          </w:p>
        </w:tc>
        <w:tc>
          <w:tcPr>
            <w:tcW w:w="990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1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127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</w:p>
        </w:tc>
      </w:tr>
      <w:tr w:rsidR="00B272A6" w:rsidRPr="00B272A6" w:rsidTr="00B272A6">
        <w:trPr>
          <w:trHeight w:val="755"/>
        </w:trPr>
        <w:tc>
          <w:tcPr>
            <w:tcW w:w="1410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I</w:t>
            </w:r>
          </w:p>
        </w:tc>
        <w:tc>
          <w:tcPr>
            <w:tcW w:w="4560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1.     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Organisasi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&amp; SDM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Rumah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Sakit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2.      Leadership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3.     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Manajemen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Fasilitas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&amp; K3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4.      M.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Pelayanan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RS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5.     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Manajemen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keuangan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  RS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6.     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Pemasaran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Jasa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RS &amp;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etika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bisnis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islami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7.       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Regulasi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dan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Kebijakan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Kesehatan</w:t>
            </w:r>
            <w:proofErr w:type="spellEnd"/>
          </w:p>
        </w:tc>
        <w:tc>
          <w:tcPr>
            <w:tcW w:w="990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4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3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127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 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17</w:t>
            </w:r>
          </w:p>
        </w:tc>
      </w:tr>
      <w:tr w:rsidR="00B272A6" w:rsidRPr="00B272A6" w:rsidTr="00B272A6">
        <w:tc>
          <w:tcPr>
            <w:tcW w:w="1410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lastRenderedPageBreak/>
              <w:t>II</w:t>
            </w:r>
          </w:p>
        </w:tc>
        <w:tc>
          <w:tcPr>
            <w:tcW w:w="4560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1.      E hospital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2.      M.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Pencegahan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pengendalian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infeksi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3.      M.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Pelayanan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Khusus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  RS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4.     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Manajemen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Penunjang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5.     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Metodologi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Penelitian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6.     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Manajemen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strategik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7.      Blok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elektif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  (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pilihan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)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a.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Manajemen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bencana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b.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Manajemen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Teknik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Perumahsakitan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c.  </w:t>
            </w:r>
            <w:r w:rsidRPr="00B272A6">
              <w:rPr>
                <w:rFonts w:ascii="open_sansregular" w:eastAsia="Times New Roman" w:hAnsi="open_sansregular" w:cs="Times New Roman"/>
                <w:i/>
                <w:iCs/>
                <w:color w:val="333333"/>
                <w:sz w:val="21"/>
                <w:szCs w:val="21"/>
              </w:rPr>
              <w:t>International Visiting Hospital Program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d.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Akreditasi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Fasilitas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Pelayanan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Kesehatan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e.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Sistem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i/>
                <w:iCs/>
                <w:color w:val="333333"/>
                <w:sz w:val="21"/>
                <w:szCs w:val="21"/>
              </w:rPr>
              <w:t>Casemix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 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dan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Remunerasi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f.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Manajemen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Pelayanan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Berfokus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Pasien</w:t>
            </w:r>
            <w:proofErr w:type="spellEnd"/>
          </w:p>
        </w:tc>
        <w:tc>
          <w:tcPr>
            <w:tcW w:w="990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4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2</w:t>
            </w:r>
          </w:p>
        </w:tc>
        <w:tc>
          <w:tcPr>
            <w:tcW w:w="1275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 16</w:t>
            </w:r>
          </w:p>
        </w:tc>
      </w:tr>
      <w:tr w:rsidR="00B272A6" w:rsidRPr="00B272A6" w:rsidTr="00B272A6">
        <w:tc>
          <w:tcPr>
            <w:tcW w:w="1410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III</w:t>
            </w:r>
          </w:p>
        </w:tc>
        <w:tc>
          <w:tcPr>
            <w:tcW w:w="4560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1.     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Residensi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2.     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Tesis</w:t>
            </w:r>
            <w:proofErr w:type="spellEnd"/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3.     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Karya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ilmiah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(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Publikasi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 xml:space="preserve"> </w:t>
            </w:r>
            <w:proofErr w:type="spellStart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ilmiah</w:t>
            </w:r>
            <w:proofErr w:type="spellEnd"/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)</w:t>
            </w:r>
          </w:p>
        </w:tc>
        <w:tc>
          <w:tcPr>
            <w:tcW w:w="990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      2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6</w:t>
            </w:r>
          </w:p>
          <w:p w:rsidR="00B272A6" w:rsidRPr="00B272A6" w:rsidRDefault="00B272A6" w:rsidP="00B272A6">
            <w:pPr>
              <w:spacing w:after="150" w:line="315" w:lineRule="atLeast"/>
              <w:jc w:val="both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3</w:t>
            </w:r>
          </w:p>
        </w:tc>
        <w:tc>
          <w:tcPr>
            <w:tcW w:w="1275" w:type="dxa"/>
            <w:tcBorders>
              <w:bottom w:val="single" w:sz="6" w:space="0" w:color="F1F1F1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11</w:t>
            </w:r>
          </w:p>
        </w:tc>
      </w:tr>
      <w:tr w:rsidR="00B272A6" w:rsidRPr="00B272A6" w:rsidTr="00B272A6">
        <w:tc>
          <w:tcPr>
            <w:tcW w:w="1410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</w:p>
        </w:tc>
        <w:tc>
          <w:tcPr>
            <w:tcW w:w="4560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TOTAL</w:t>
            </w:r>
          </w:p>
        </w:tc>
        <w:tc>
          <w:tcPr>
            <w:tcW w:w="990" w:type="dxa"/>
            <w:tcBorders>
              <w:bottom w:val="single" w:sz="6" w:space="0" w:color="F1F1F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</w:pPr>
            <w:r w:rsidRPr="00B272A6">
              <w:rPr>
                <w:rFonts w:ascii="open_sansregular" w:eastAsia="Times New Roman" w:hAnsi="open_sansregular" w:cs="Times New Roman"/>
                <w:color w:val="333333"/>
                <w:sz w:val="21"/>
                <w:szCs w:val="21"/>
              </w:rPr>
              <w:t>    44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272A6" w:rsidRPr="00B272A6" w:rsidRDefault="00B272A6" w:rsidP="00B272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955E5" w:rsidRDefault="005955E5">
      <w:bookmarkStart w:id="0" w:name="_GoBack"/>
      <w:bookmarkEnd w:id="0"/>
    </w:p>
    <w:sectPr w:rsidR="0059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C174F"/>
    <w:multiLevelType w:val="multilevel"/>
    <w:tmpl w:val="C03A1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C50118"/>
    <w:multiLevelType w:val="multilevel"/>
    <w:tmpl w:val="36027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9E64EE"/>
    <w:multiLevelType w:val="multilevel"/>
    <w:tmpl w:val="A728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A6"/>
    <w:rsid w:val="005955E5"/>
    <w:rsid w:val="00B2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281BD-4195-4FC6-8ABD-BE870FC1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1363</Words>
  <Characters>7771</Characters>
  <Application>Microsoft Office Word</Application>
  <DocSecurity>0</DocSecurity>
  <Lines>64</Lines>
  <Paragraphs>18</Paragraphs>
  <ScaleCrop>false</ScaleCrop>
  <Company/>
  <LinksUpToDate>false</LinksUpToDate>
  <CharactersWithSpaces>9116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fatoni murfid syaafii</dc:creator>
  <cp:keywords/>
  <dc:description/>
  <cp:lastModifiedBy>fatoni murfid syaafii</cp:lastModifiedBy>
  <cp:revision>2</cp:revision>
  <dcterms:created xsi:type="dcterms:W3CDTF">2019-02-08T09:27:00Z</dcterms:created>
  <dcterms:modified xsi:type="dcterms:W3CDTF">2019-02-08T09:35:00Z</dcterms:modified>
</cp:coreProperties>
</file>