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Arial" w:cs="Arial" w:eastAsia="Arial" w:hAnsi="Arial"/>
          <w:b/>
          <w:bCs/>
          <w:color w:val="1B3A5C"/>
          <w:sz w:val="52"/>
          <w:szCs w:val="52"/>
        </w:rPr>
        <w:t xml:space="preserve">MEPA V6.2</w:t>
      </w:r>
    </w:p>
    <w:p>
      <w:pPr>
        <w:spacing w:before="0" w:after="20"/>
        <w:jc w:val="center"/>
      </w:pPr>
      <w:r>
        <w:rPr>
          <w:rFonts w:ascii="Arial" w:cs="Arial" w:eastAsia="Arial" w:hAnsi="Arial"/>
          <w:b/>
          <w:bCs/>
          <w:color w:val="2E6DA4"/>
          <w:sz w:val="30"/>
          <w:szCs w:val="30"/>
        </w:rPr>
        <w:t xml:space="preserve">Addendum Théorique</w:t>
      </w:r>
    </w:p>
    <w:p>
      <w:pPr>
        <w:spacing w:before="0" w:after="40"/>
        <w:jc w:val="center"/>
      </w:pPr>
      <w:r>
        <w:rPr>
          <w:rFonts w:ascii="Arial" w:cs="Arial" w:eastAsia="Arial" w:hAnsi="Arial"/>
          <w:b/>
          <w:bCs/>
          <w:color w:val="2A7F7F"/>
          <w:sz w:val="24"/>
          <w:szCs w:val="24"/>
        </w:rPr>
        <w:t xml:space="preserve">Rigueur Procédurale et Inférence Dynamique</w:t>
      </w:r>
    </w:p>
    <w:p>
      <w:pPr>
        <w:spacing w:before="0" w:after="20"/>
        <w:jc w:val="center"/>
      </w:pPr>
      <w:r>
        <w:rPr>
          <w:rFonts w:ascii="Arial" w:cs="Arial" w:eastAsia="Arial" w:hAnsi="Arial"/>
          <w:b/>
          <w:bCs/>
          <w:color w:val="1B3A5C"/>
          <w:sz w:val="20"/>
          <w:szCs w:val="20"/>
        </w:rPr>
        <w:t xml:space="preserve">Document de fondements méthodologiques — Version 6.2 Fortifiée</w:t>
      </w:r>
    </w:p>
    <w:p>
      <w:pPr>
        <w:spacing w:before="0" w:after="40"/>
        <w:jc w:val="center"/>
      </w:pPr>
      <w:r>
        <w:rPr>
          <w:rFonts w:ascii="Arial" w:cs="Arial" w:eastAsia="Arial" w:hAnsi="Arial"/>
          <w:color w:val="AAAAAA"/>
          <w:sz w:val="18"/>
          <w:szCs w:val="18"/>
        </w:rPr>
        <w:t xml:space="preserve">Mars 2026  ·  Référence principale du projet  ·  Usage interne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1A" w:sz="6"/>
              <w:left w:val="single" w:color="8B1A1A" w:sz="6"/>
              <w:bottom w:val="single" w:color="8B1A1A" w:sz="6"/>
              <w:right w:val="single" w:color="8B1A1A" w:sz="6"/>
            </w:tcBorders>
            <w:shd w:fill="FFF0F0" w:val="clear"/>
            <w:tcMar>
              <w:top w:type="dxa" w:w="120"/>
              <w:left w:type="dxa" w:w="200"/>
              <w:bottom w:type="dxa" w:w="120"/>
              <w:right w:type="dxa" w:w="200"/>
            </w:tcMar>
          </w:tcPr>
          <w:p>
            <w:pPr>
              <w:spacing w:before="0" w:after="40"/>
              <w:jc w:val="center"/>
            </w:pPr>
            <w:r>
              <w:rPr>
                <w:rFonts w:ascii="Arial" w:cs="Arial" w:eastAsia="Arial" w:hAnsi="Arial"/>
                <w:b/>
                <w:bCs/>
                <w:color w:val="8B1A1A"/>
                <w:sz w:val="22"/>
                <w:szCs w:val="22"/>
              </w:rPr>
              <w:t xml:space="preserve">DOCUMENT DE RÉFÉRENCE PRINCIPALE</w:t>
            </w:r>
          </w:p>
          <w:p>
            <w:pPr>
              <w:spacing w:before="0" w:after="0"/>
              <w:jc w:val="left"/>
            </w:pPr>
            <w:r>
              <w:rPr>
                <w:rFonts w:ascii="Arial" w:cs="Arial" w:eastAsia="Arial" w:hAnsi="Arial"/>
                <w:color w:val="444444"/>
                <w:sz w:val="18"/>
                <w:szCs w:val="18"/>
              </w:rPr>
              <w:t xml:space="preserve">Cet Addendum constitue la référence principale du projet MEPA V6.2. Il prime sur les documents antérieurs (V6.0, V6.1) pour toutes les questions de protocole inter-codeurs, de variable NC, de friction de raisonnement et de positionnement épistémologique. Les corrections opérationnelles (seuils θ, intégrateur, nomenclature gamma) sont documentées dans MEPA Lite V6.2 et mepa_runner_v2_gamma.py.</w:t>
            </w:r>
          </w:p>
        </w:tc>
      </w:tr>
    </w:tbl>
    <w:p>
      <w:pPr>
        <w:spacing w:before="0" w:after="0"/>
        <w:jc w:val="left"/>
      </w:pPr>
      <w:r>
        <w:rPr>
          <w:rFonts w:ascii="Arial" w:cs="Arial" w:eastAsia="Arial" w:hAnsi="Arial"/>
          <w:color w:val="444444"/>
          <w:sz w:val="20"/>
          <w:szCs w:val="20"/>
        </w:rPr>
        <w:t xml:space="preserve"/>
      </w:r>
    </w:p>
    <w:p>
      <w:pPr>
        <w:pStyle w:val="Heading1"/>
        <w:spacing w:before="280" w:after="100"/>
      </w:pPr>
      <w:r>
        <w:rPr>
          <w:rFonts w:ascii="Arial" w:cs="Arial" w:eastAsia="Arial" w:hAnsi="Arial"/>
          <w:b/>
          <w:bCs/>
          <w:color w:val="1B3A5C"/>
          <w:sz w:val="36"/>
          <w:szCs w:val="36"/>
        </w:rPr>
        <w:t xml:space="preserve">Préambule</w:t>
      </w:r>
    </w:p>
    <w:p>
      <w:pPr>
        <w:spacing w:before="60" w:after="60"/>
        <w:jc w:val="left"/>
      </w:pPr>
      <w:r>
        <w:rPr>
          <w:rFonts w:ascii="Arial" w:cs="Arial" w:eastAsia="Arial" w:hAnsi="Arial"/>
          <w:color w:val="444444"/>
          <w:sz w:val="20"/>
          <w:szCs w:val="20"/>
        </w:rPr>
        <w:t xml:space="preserve">Les versions antérieures de MEPA (V5, V6, V6.1) ont établi l'architecture fondamentale d'un pipeline d'inférence historique semi-automatisé : codage structuré des variables, simulation dynamique par équations différentielles, audit inter-codeurs et production d'un corpus de cas comparables. Ces fondements restent intacts dans la V6.2.</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La V6.2 Fortifiée ne constitue pas une rupture avec ses prédécesseurs — elle en est l'aboutissement logique. Elle répond à un défi précis : transformer un framework de recherche prometteur en instrument de mesure calibré, dont chaque composant est à la fois techniquement robuste et épistémologiquement défendable devant un comité de pairs.</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Le présent Addendum formalise les cinq piliers conceptuels de cette transformation. Il constitue le bouclier théorique du pipeline : chaque modification technique implémentée dans les scripts Python et les nœuds n8n trouve ici sa justification académique.</w:t>
      </w:r>
    </w:p>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2E6DA4" w:sz="8"/>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2E6DA4"/>
                <w:sz w:val="18"/>
                <w:szCs w:val="18"/>
              </w:rPr>
              <w:t xml:space="preserve">Statut épistémologique revendiqué de MEPA V6.2 — </w:t>
            </w:r>
            <w:r>
              <w:rPr>
                <w:rFonts w:ascii="Arial" w:cs="Arial" w:eastAsia="Arial" w:hAnsi="Arial"/>
                <w:color w:val="444444"/>
                <w:sz w:val="18"/>
                <w:szCs w:val="18"/>
              </w:rPr>
              <w:t xml:space="preserve">Framework de recherche historique à formalisation dynamique assistée par IA — protocole de production standardisée de cas comparables, à traçabilité complète, opérant selon le paradigme des sciences des systèmes complexes (Type B : paramètres contextuels documentés, équations universelles). Ce statut est distinct d'un modèle prédictif universel (Type A). Il exige en contrepartie une rigueur accrue sur la traçabilité paramétrique, la reproductibilité du codage et l'explicitation des limites de chaque cas.</w:t>
            </w:r>
          </w:p>
        </w:tc>
      </w:tr>
    </w:tbl>
    <w:p>
      <w:pPr>
        <w:spacing w:before="0" w:after="0"/>
        <w:jc w:val="left"/>
      </w:pPr>
      <w:r>
        <w:rPr>
          <w:rFonts w:ascii="Arial" w:cs="Arial" w:eastAsia="Arial" w:hAnsi="Arial"/>
          <w:color w:val="444444"/>
          <w:sz w:val="20"/>
          <w:szCs w:val="20"/>
        </w:rPr>
        <w:t xml:space="preserve"/>
      </w:r>
    </w:p>
    <w:p>
      <w:pPr>
        <w:pStyle w:val="Heading1"/>
        <w:spacing w:before="280" w:after="100"/>
      </w:pPr>
      <w:r>
        <w:rPr>
          <w:rFonts w:ascii="Arial" w:cs="Arial" w:eastAsia="Arial" w:hAnsi="Arial"/>
          <w:b/>
          <w:bCs/>
          <w:color w:val="1B3A5C"/>
          <w:sz w:val="36"/>
          <w:szCs w:val="36"/>
        </w:rPr>
        <w:t xml:space="preserve">Vue d'ensemble — Les 5 Piliers V6.2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200"/>
        <w:gridCol w:w="1426"/>
      </w:tblGrid>
      <w:tr>
        <w:trPr>
          <w:tblHeader/>
        </w:trPr>
        <w:tc>
          <w:tcPr>
            <w:tcW w:type="dxa" w:w="8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Pilier</w:t>
            </w:r>
          </w:p>
        </w:tc>
        <w:tc>
          <w:tcPr>
            <w:tcW w:type="dxa" w:w="2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Concept central</w:t>
            </w:r>
          </w:p>
        </w:tc>
        <w:tc>
          <w:tcPr>
            <w:tcW w:type="dxa" w:w="2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Implémentation technique</w:t>
            </w:r>
          </w:p>
        </w:tc>
        <w:tc>
          <w:tcPr>
            <w:tcW w:type="dxa" w:w="2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Fichier(s)</w:t>
            </w:r>
          </w:p>
        </w:tc>
        <w:tc>
          <w:tcPr>
            <w:tcW w:type="dxa" w:w="14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Impact</w:t>
            </w:r>
          </w:p>
        </w:tc>
      </w:tr>
      <w:tr>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P1</w:t>
            </w:r>
          </w:p>
        </w:tc>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De l'Accord à la Reproductibilité</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κ → CCI two-way mixed (consistency)</w:t>
            </w:r>
          </w:p>
        </w:tc>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mepa_kappa_calculator.py · mepa_passeport_schema.py</w:t>
            </w:r>
          </w:p>
        </w:tc>
        <w:tc>
          <w:tcPr>
            <w:tcW w:type="dxa" w:w="14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Standard psychométrique</w:t>
            </w:r>
          </w:p>
        </w:tc>
      </w:tr>
      <w:tr>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P2</w:t>
            </w:r>
          </w:p>
        </w:tc>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Silence Socratique — Variable NC</w:t>
            </w:r>
          </w:p>
        </w:tc>
        <w:tc>
          <w:tcPr>
            <w:tcW w:type="dxa" w:w="2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Statut DONNÉES_INSUFFISANTES · contrôle C13</w:t>
            </w:r>
          </w:p>
        </w:tc>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6"/>
                <w:szCs w:val="16"/>
              </w:rPr>
              <w:t xml:space="preserve">mepa_node2_audit_v62.js · CONV-E instructions · mepa_whitelist_keys.json</w:t>
            </w:r>
          </w:p>
        </w:tc>
        <w:tc>
          <w:tcPr>
            <w:tcW w:type="dxa" w:w="14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Intégrité documentaire</w:t>
            </w:r>
          </w:p>
        </w:tc>
      </w:tr>
      <w:tr>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P3</w:t>
            </w:r>
          </w:p>
        </w:tc>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Contrainte Paramétrique</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Bornes corpus → falsifiabilité conditionnelle</w:t>
            </w:r>
          </w:p>
        </w:tc>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mepa_constants.json · mepa_runner_v2_gamma.py</w:t>
            </w:r>
          </w:p>
        </w:tc>
        <w:tc>
          <w:tcPr>
            <w:tcW w:type="dxa" w:w="14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Reproductibilité</w:t>
            </w:r>
          </w:p>
        </w:tc>
      </w:tr>
      <w:tr>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P4</w:t>
            </w:r>
          </w:p>
        </w:tc>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Protocole d'Inférence IA</w:t>
            </w:r>
          </w:p>
        </w:tc>
        <w:tc>
          <w:tcPr>
            <w:tcW w:type="dxa" w:w="2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LLM = opérateur · double aveugle n8n</w:t>
            </w:r>
          </w:p>
        </w:tc>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6"/>
                <w:szCs w:val="16"/>
              </w:rPr>
              <w:t xml:space="preserve">Workflow n8n · CONV-B instructions</w:t>
            </w:r>
          </w:p>
        </w:tc>
        <w:tc>
          <w:tcPr>
            <w:tcW w:type="dxa" w:w="14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Auditabilité</w:t>
            </w:r>
          </w:p>
        </w:tc>
      </w:tr>
      <w:tr>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P5</w:t>
            </w:r>
          </w:p>
        </w:tc>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Friction de Raisonnement</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Divergences IA → signal ambiguïté historique</w:t>
            </w:r>
          </w:p>
        </w:tc>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6"/>
                <w:szCs w:val="16"/>
              </w:rPr>
              <w:t xml:space="preserve">mepa_friction_profile.json · mepa_kappa_calculator.py</w:t>
            </w:r>
          </w:p>
        </w:tc>
        <w:tc>
          <w:tcPr>
            <w:tcW w:type="dxa" w:w="14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Contribution originale</w:t>
            </w:r>
          </w:p>
        </w:tc>
      </w:tr>
    </w:tbl>
    <w:p>
      <w:pPr>
        <w:spacing w:before="0" w:after="0"/>
        <w:jc w:val="left"/>
      </w:pPr>
      <w:r>
        <w:rPr>
          <w:rFonts w:ascii="Arial" w:cs="Arial" w:eastAsia="Arial" w:hAnsi="Arial"/>
          <w:color w:val="444444"/>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6"/>
              <w:left w:val="single" w:color="2E6DA4" w:sz="6"/>
              <w:bottom w:val="single" w:color="2E6DA4" w:sz="6"/>
              <w:right w:val="single" w:color="2E6DA4" w:sz="6"/>
            </w:tcBorders>
            <w:shd w:fill="EDF3FA" w:val="clear"/>
            <w:tcMar>
              <w:top w:type="dxa" w:w="120"/>
              <w:left w:type="dxa" w:w="200"/>
              <w:bottom w:type="dxa" w:w="120"/>
              <w:right w:type="dxa" w:w="200"/>
            </w:tcMar>
          </w:tcPr>
          <w:p>
            <w:pPr>
              <w:spacing w:before="0" w:after="20"/>
              <w:jc w:val="center"/>
            </w:pPr>
            <w:r>
              <w:rPr>
                <w:rFonts w:ascii="Arial" w:cs="Arial" w:eastAsia="Arial" w:hAnsi="Arial"/>
                <w:b/>
                <w:bCs/>
                <w:color w:val="2E6DA4"/>
                <w:sz w:val="28"/>
                <w:szCs w:val="28"/>
              </w:rPr>
              <w:t xml:space="preserve">PILIER P1</w:t>
            </w:r>
          </w:p>
          <w:p>
            <w:pPr>
              <w:spacing w:before="0" w:after="0"/>
              <w:jc w:val="center"/>
            </w:pPr>
            <w:r>
              <w:rPr>
                <w:rFonts w:ascii="Arial" w:cs="Arial" w:eastAsia="Arial" w:hAnsi="Arial"/>
                <w:b/>
                <w:bCs/>
                <w:color w:val="2E6DA4"/>
                <w:sz w:val="24"/>
                <w:szCs w:val="24"/>
              </w:rPr>
              <w:t xml:space="preserve">De l'Accord à la Reproductibilité — κ → CCI</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Dans les versions V6 et V6.1, la fiabilité inter-codeurs était mesurée par une adaptation du κ de Cohen appliquée à des variables continues via un seuil de tolérance (Δ ≤ 0.15). Ce choix, bien qu'opérationnellement fonctionnel, reposait sur une inadéquation conceptuelle fondamentale : le κ de Cohen est conçu pour des variables nominales discrètes — il mesure un accord binaire (concordance / discordance) sur des catégories sans ordre ni distance.</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Or les neuf variables codées dans MEPA sont des grandeurs continues à ancrage empirique : E_split ∈ [0,1], γ ∈ [0,1], A_d_eff ∈ [0,10], EROI ∈ [0,50], etc. La question scientifique pertinente n'est pas « les deux codeurs sont-ils d'accord ? » mais « dans quelle mesure leurs mesures sont-elles substituables ? »</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P1.1 — Inadéquation du κ pour des variables continues</w:t>
      </w:r>
    </w:p>
    <w:p>
      <w:pPr>
        <w:spacing w:before="60" w:after="60"/>
        <w:jc w:val="left"/>
      </w:pPr>
      <w:r>
        <w:rPr>
          <w:rFonts w:ascii="Arial" w:cs="Arial" w:eastAsia="Arial" w:hAnsi="Arial"/>
          <w:color w:val="444444"/>
          <w:sz w:val="20"/>
          <w:szCs w:val="20"/>
        </w:rPr>
        <w:t xml:space="preserve">La formule embarquée dans mepa_kappa_calculator.py (V6.1) calculait la probabilité d'accord par chance comme Pe = Po² + (1 − Po)², en dérivant Pe de Po lui-même. Cette circularité sous-estime l'accord par chance sur les distributions asymétriques, produisant un κ systématiquement surévalué. Mais au-delà de cette erreur d'implémentation, le problème est structurel : binariser une variable continue par seuillage efface l'information sur la magnitude de la divergence.</w:t>
      </w:r>
    </w:p>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C47A1E" w:sz="8"/>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C47A1E"/>
                <w:sz w:val="18"/>
                <w:szCs w:val="18"/>
              </w:rPr>
              <w:t xml:space="preserve">Exemple illustratif — </w:t>
            </w:r>
            <w:r>
              <w:rPr>
                <w:rFonts w:ascii="Arial" w:cs="Arial" w:eastAsia="Arial" w:hAnsi="Arial"/>
                <w:color w:val="444444"/>
                <w:sz w:val="18"/>
                <w:szCs w:val="18"/>
              </w:rPr>
              <w:t xml:space="preserve">Deux codages à 0.30 vs 0.44 (Δ=0.14, accord) et deux codages à 0.01 vs 0.15 (Δ=0.14, accord) produisent le même signal d'accord binaire pour κ. Pourtant, dans le premier cas l'impact simulé sur la trajectoire peut être significatif. Le κ ne capture pas cette différence — le CCI si.</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P1.2 — Le CCI comme instrument de calibration</w:t>
      </w:r>
    </w:p>
    <w:p>
      <w:pPr>
        <w:spacing w:before="60" w:after="60"/>
        <w:jc w:val="left"/>
      </w:pPr>
      <w:r>
        <w:rPr>
          <w:rFonts w:ascii="Arial" w:cs="Arial" w:eastAsia="Arial" w:hAnsi="Arial"/>
          <w:color w:val="444444"/>
          <w:sz w:val="20"/>
          <w:szCs w:val="20"/>
        </w:rPr>
        <w:t xml:space="preserve">Le CCI two-way mixed (effets fixes pour les codeurs, aléatoires pour les cas) avec l'indice de consistance mesure précisément ce dont MEPA a besoin : la proportion de la variance totale des mesures imputable aux différences entre cas historiques, par opposition à la variance due aux divergences entre codeurs.</w:t>
      </w:r>
    </w:p>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rPr>
          <w:tblHeader/>
        </w:trPr>
        <w:tc>
          <w:tcPr>
            <w:tcW w:type="dxa" w:w="2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Métrique</w:t>
            </w:r>
          </w:p>
        </w:tc>
        <w:tc>
          <w:tcPr>
            <w:tcW w:type="dxa" w:w="2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Objet mesuré</w:t>
            </w:r>
          </w:p>
        </w:tc>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Question posée</w:t>
            </w:r>
          </w:p>
        </w:tc>
        <w:tc>
          <w:tcPr>
            <w:tcW w:type="dxa" w:w="24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Adapté à MEPA ?</w:t>
            </w:r>
          </w:p>
        </w:tc>
      </w:tr>
      <w:tr>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8B1A1A"/>
                <w:sz w:val="18"/>
                <w:szCs w:val="18"/>
              </w:rPr>
              <w:t xml:space="preserve">κ de Cohen (V6.1)</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Accord nominal binaire</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Les codeurs classent-ils dans la même catégorie ?</w:t>
            </w:r>
          </w:p>
        </w:tc>
        <w:tc>
          <w:tcPr>
            <w:tcW w:type="dxa" w:w="24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8B1A1A"/>
                <w:sz w:val="18"/>
                <w:szCs w:val="18"/>
              </w:rPr>
              <w:t xml:space="preserve">Non — variables continues</w:t>
            </w:r>
          </w:p>
        </w:tc>
      </w:tr>
      <w:tr>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C47A1E"/>
                <w:sz w:val="18"/>
                <w:szCs w:val="18"/>
              </w:rPr>
              <w:t xml:space="preserve">κ pondéré</w:t>
            </w:r>
          </w:p>
        </w:tc>
        <w:tc>
          <w:tcPr>
            <w:tcW w:type="dxa" w:w="2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Accord ordinal avec pénalité</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Les désaccords sont-ils proches ou lointains ?</w:t>
            </w:r>
          </w:p>
        </w:tc>
        <w:tc>
          <w:tcPr>
            <w:tcW w:type="dxa" w:w="24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C47A1E"/>
                <w:sz w:val="18"/>
                <w:szCs w:val="18"/>
              </w:rPr>
              <w:t xml:space="preserve">Partiel — ne mesure pas la substituabilité</w:t>
            </w:r>
          </w:p>
        </w:tc>
      </w:tr>
      <w:tr>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E6B3C"/>
                <w:sz w:val="18"/>
                <w:szCs w:val="18"/>
              </w:rPr>
              <w:t xml:space="preserve">CCI two-way mixed (V6.2)</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Reproductibilité de la mesure</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Les mesures sont-elles interchangeables ?</w:t>
            </w:r>
          </w:p>
        </w:tc>
        <w:tc>
          <w:tcPr>
            <w:tcW w:type="dxa" w:w="24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E6B3C"/>
                <w:sz w:val="18"/>
                <w:szCs w:val="18"/>
              </w:rPr>
              <w:t xml:space="preserve">Oui — standard psychométrique</w:t>
            </w:r>
          </w:p>
        </w:tc>
      </w:tr>
    </w:tbl>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1E6B3C" w:sz="8"/>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1E6B3C"/>
                <w:sz w:val="18"/>
                <w:szCs w:val="18"/>
              </w:rPr>
              <w:t xml:space="preserve">Principe de calibration MEPA V6.2 — </w:t>
            </w:r>
            <w:r>
              <w:rPr>
                <w:rFonts w:ascii="Arial" w:cs="Arial" w:eastAsia="Arial" w:hAnsi="Arial"/>
                <w:color w:val="444444"/>
                <w:sz w:val="18"/>
                <w:szCs w:val="18"/>
              </w:rPr>
              <w:t xml:space="preserve">Un score CCI ≥ 0.70 par variable (et ≥ 0.75 pour le CCI global) garantit que les trajectoires produites par la simulation seraient statistiquement indiscernables si l'on substituait CONV-E à CONV-B comme codeur principal. Cette substituabilité — et non le simple accord — est le standard de reproductibilité que MEPA V6.2 revendique.</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P1.3 — Limites assumées du CCI inter-LLM</w:t>
      </w:r>
    </w:p>
    <w:p>
      <w:pPr>
        <w:spacing w:before="60" w:after="60"/>
        <w:jc w:val="left"/>
      </w:pPr>
      <w:r>
        <w:rPr>
          <w:rFonts w:ascii="Arial" w:cs="Arial" w:eastAsia="Arial" w:hAnsi="Arial"/>
          <w:color w:val="444444"/>
          <w:sz w:val="20"/>
          <w:szCs w:val="20"/>
        </w:rPr>
        <w:t xml:space="preserve">Le CCI inter-LLM n'est pas équivalent au CCI inter-humain. Deux instances du même modèle de langage partagent des biais épistémiques communs issus de leur corpus d'entraînement. La reproductibilité mesurée est donc une reproductibilité conditionnelle au modèle. MEPA V6.2 assume et documente cette limite explicitement, sans tenter de la dissimuler derrière un score agrégé. C'est précisément cette honnêteté qui rend le protocole défendable.</w:t>
      </w:r>
    </w:p>
    <w:p>
      <w:pPr>
        <w:spacing w:before="0" w:after="0"/>
        <w:jc w:val="left"/>
      </w:pPr>
      <w:r>
        <w:rPr>
          <w:rFonts w:ascii="Arial" w:cs="Arial" w:eastAsia="Arial" w:hAnsi="Arial"/>
          <w:color w:val="444444"/>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7F7F" w:sz="6"/>
              <w:left w:val="single" w:color="2A7F7F" w:sz="6"/>
              <w:bottom w:val="single" w:color="2A7F7F" w:sz="6"/>
              <w:right w:val="single" w:color="2A7F7F" w:sz="6"/>
            </w:tcBorders>
            <w:shd w:fill="EDF3FA" w:val="clear"/>
            <w:tcMar>
              <w:top w:type="dxa" w:w="120"/>
              <w:left w:type="dxa" w:w="200"/>
              <w:bottom w:type="dxa" w:w="120"/>
              <w:right w:type="dxa" w:w="200"/>
            </w:tcMar>
          </w:tcPr>
          <w:p>
            <w:pPr>
              <w:spacing w:before="0" w:after="20"/>
              <w:jc w:val="center"/>
            </w:pPr>
            <w:r>
              <w:rPr>
                <w:rFonts w:ascii="Arial" w:cs="Arial" w:eastAsia="Arial" w:hAnsi="Arial"/>
                <w:b/>
                <w:bCs/>
                <w:color w:val="2A7F7F"/>
                <w:sz w:val="28"/>
                <w:szCs w:val="28"/>
              </w:rPr>
              <w:t xml:space="preserve">PILIER P2</w:t>
            </w:r>
          </w:p>
          <w:p>
            <w:pPr>
              <w:spacing w:before="0" w:after="0"/>
              <w:jc w:val="center"/>
            </w:pPr>
            <w:r>
              <w:rPr>
                <w:rFonts w:ascii="Arial" w:cs="Arial" w:eastAsia="Arial" w:hAnsi="Arial"/>
                <w:b/>
                <w:bCs/>
                <w:color w:val="2A7F7F"/>
                <w:sz w:val="24"/>
                <w:szCs w:val="24"/>
              </w:rPr>
              <w:t xml:space="preserve">Le Principe du Silence Socratique — Variable NC</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Socrate distinguait deux formes d'ignorance : celle qui s'ignore — source d'erreur — et celle qui se connaît — source de sagesse. Cette distinction, transposée à un pipeline d'inférence automatisée, constitue l'un des défis les plus profonds de l'usage des LLM en recherche : un système qui produit toujours une réponse, même face à des données insuffisantes, est épistémologiquement dangereux.</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La variable NC (Non-Codable) implémentée dans MEPA V6.2 est la réponse architecturale à ce défi. Elle n'est pas un palliatif technique — elle est la démonstration que le système peut exercer un silence méthodologique délibéré.</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P2.1 — L'absence de donnée n'est pas un zéro</w:t>
      </w:r>
    </w:p>
    <w:p>
      <w:pPr>
        <w:spacing w:before="60" w:after="60"/>
        <w:jc w:val="left"/>
      </w:pPr>
      <w:r>
        <w:rPr>
          <w:rFonts w:ascii="Arial" w:cs="Arial" w:eastAsia="Arial" w:hAnsi="Arial"/>
          <w:color w:val="444444"/>
          <w:sz w:val="20"/>
          <w:szCs w:val="20"/>
        </w:rPr>
        <w:t xml:space="preserve">Dans les sciences sociales quantitatives, la distinction entre missing at random et missing not at random est fondamentale. Les régimes répressifs produisent peu de traces — l'absence de données sur la légitimité perçue est systématiquement corrélée avec les valeurs basses de Cs. L'imputer par zéro ou par la moyenne du corpus introduit un biais systémique que les méthodes d'analyse ultérieures ne peuvent pas corriger.</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Dans MEPA, une variable non-codable peut résulter de : (1) absence totale de sources primaires documentées ; (2) sources contradictoires sans résolution possible par confrontation ; (3) ambiguïté conceptuelle fondamentale de la variable pour le contexte historique (ex. : concept de « légitimité institutionnelle » dans des structures pré-étatiques).</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P2.2 — Les trois états du pipeline V6.2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Statut</w:t>
            </w:r>
          </w:p>
        </w:tc>
        <w:tc>
          <w:tcPr>
            <w:tcW w:type="dxa" w:w="38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Définition</w:t>
            </w:r>
          </w:p>
        </w:tc>
        <w:tc>
          <w:tcPr>
            <w:tcW w:type="dxa" w:w="3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Action pipeline</w:t>
            </w:r>
          </w:p>
        </w:tc>
      </w:tr>
      <w:tr>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E6B3C"/>
                <w:sz w:val="18"/>
                <w:szCs w:val="18"/>
              </w:rPr>
              <w:t xml:space="preserve">CERTIFIÉ</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Données suffisantes, CCI ≥ 0.70 par variable, CCI global ≥ 0.75</w:t>
            </w:r>
          </w:p>
        </w:tc>
        <w:tc>
          <w:tcPr>
            <w:tcW w:type="dxa" w:w="3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WP validé → passeport émis → CONV-D + CONV-F</w:t>
            </w:r>
          </w:p>
        </w:tc>
      </w:tr>
      <w:tr>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C47A1E"/>
                <w:sz w:val="18"/>
                <w:szCs w:val="18"/>
              </w:rPr>
              <w:t xml:space="preserve">RÉVISION</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Désaccord inter-codeurs réductible par confrontation de sources</w:t>
            </w:r>
          </w:p>
        </w:tc>
        <w:tc>
          <w:tcPr>
            <w:tcW w:type="dxa" w:w="3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Retour CONV-E avec instructions ciblées → recalcul CCI</w:t>
            </w:r>
          </w:p>
        </w:tc>
      </w:tr>
      <w:tr>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8B1A1A"/>
                <w:sz w:val="18"/>
                <w:szCs w:val="18"/>
              </w:rPr>
              <w:t xml:space="preserve">DONNÉES_INSUFFISANTES</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Variable NC détectée : sources absentes, contradictoires ou conceptuellement inapplicables</w:t>
            </w:r>
          </w:p>
        </w:tc>
        <w:tc>
          <w:tcPr>
            <w:tcW w:type="dxa" w:w="3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Blocage simulation + escalade vers Architecte (CONV-C) + documentation lacune</w:t>
            </w:r>
          </w:p>
        </w:tc>
      </w:tr>
    </w:tbl>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2A7F7F" w:sz="8"/>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2A7F7F"/>
                <w:sz w:val="18"/>
                <w:szCs w:val="18"/>
              </w:rPr>
              <w:t xml:space="preserve">Paradigme V6 vs V6.2 — </w:t>
            </w:r>
            <w:r>
              <w:rPr>
                <w:rFonts w:ascii="Arial" w:cs="Arial" w:eastAsia="Arial" w:hAnsi="Arial"/>
                <w:color w:val="444444"/>
                <w:sz w:val="18"/>
                <w:szCs w:val="18"/>
              </w:rPr>
              <w:t xml:space="preserve">V6 / V6.1 : le pipeline produit toujours une explication — le WP est complet ou rejeté pour désaccord technique. V6.2 : le pipeline peut produire trois états distincts. Le troisième état n'est pas un échec du pipeline. C'est la preuve que le pipeline résiste à la production de faux savoirs.</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P2.3 — La friction NC comme contribution à la base de données</w:t>
      </w:r>
    </w:p>
    <w:p>
      <w:pPr>
        <w:spacing w:before="60" w:after="60"/>
        <w:jc w:val="left"/>
      </w:pPr>
      <w:r>
        <w:rPr>
          <w:rFonts w:ascii="Arial" w:cs="Arial" w:eastAsia="Arial" w:hAnsi="Arial"/>
          <w:color w:val="444444"/>
          <w:sz w:val="20"/>
          <w:szCs w:val="20"/>
        </w:rPr>
        <w:t xml:space="preserve">La présence de WP avec statut DONNÉES_INSUFFISANTES dans le corpus MEPA n'affaiblit pas la base de données — elle l'authentifie. Un corpus qui documente ses propres lacunes avec précision est, au contraire, un corpus sur lequel des analyses statistiques peuvent être conduites avec des estimations de biais claires.</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À terme, la distribution des variables NC par cluster, par période et par type de source constitue elle-même une donnée de recherche : elle révèle les zones d'opacité systématique de l'histoire documentée.</w:t>
      </w:r>
    </w:p>
    <w:p>
      <w:pPr>
        <w:spacing w:before="0" w:after="0"/>
        <w:jc w:val="left"/>
      </w:pPr>
      <w:r>
        <w:rPr>
          <w:rFonts w:ascii="Arial" w:cs="Arial" w:eastAsia="Arial" w:hAnsi="Arial"/>
          <w:color w:val="444444"/>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7A1E" w:sz="6"/>
              <w:left w:val="single" w:color="C47A1E" w:sz="6"/>
              <w:bottom w:val="single" w:color="C47A1E" w:sz="6"/>
              <w:right w:val="single" w:color="C47A1E" w:sz="6"/>
            </w:tcBorders>
            <w:shd w:fill="EDF3FA" w:val="clear"/>
            <w:tcMar>
              <w:top w:type="dxa" w:w="120"/>
              <w:left w:type="dxa" w:w="200"/>
              <w:bottom w:type="dxa" w:w="120"/>
              <w:right w:type="dxa" w:w="200"/>
            </w:tcMar>
          </w:tcPr>
          <w:p>
            <w:pPr>
              <w:spacing w:before="0" w:after="20"/>
              <w:jc w:val="center"/>
            </w:pPr>
            <w:r>
              <w:rPr>
                <w:rFonts w:ascii="Arial" w:cs="Arial" w:eastAsia="Arial" w:hAnsi="Arial"/>
                <w:b/>
                <w:bCs/>
                <w:color w:val="C47A1E"/>
                <w:sz w:val="28"/>
                <w:szCs w:val="28"/>
              </w:rPr>
              <w:t xml:space="preserve">PILIER P3</w:t>
            </w:r>
          </w:p>
          <w:p>
            <w:pPr>
              <w:spacing w:before="0" w:after="0"/>
              <w:jc w:val="center"/>
            </w:pPr>
            <w:r>
              <w:rPr>
                <w:rFonts w:ascii="Arial" w:cs="Arial" w:eastAsia="Arial" w:hAnsi="Arial"/>
                <w:b/>
                <w:bCs/>
                <w:color w:val="C47A1E"/>
                <w:sz w:val="24"/>
                <w:szCs w:val="24"/>
              </w:rPr>
              <w:t xml:space="preserve">La Contrainte Paramétrique — Falsifiabilité conditionnelle</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L'objection d'identifiabilité est la critique technique la plus sérieuse adressée à MEPA : avec approximativement 28 dimensions paramétriques pour 4 trajectoires observées (S, L, C, I), le modèle est formellement sous-contraint. Plusieurs jeux de paramètres distincts peuvent, en théorie, reproduire la même trajectoire.</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Cette objection est correcte sur le plan technique. Elle est cependant mal calibrée sur le plan épistémologique, car elle confond deux familles de modèles que la littérature de modélisation distingue précisément.</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P3.1 — Modèles de Type A vs Type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Dimension</w:t>
            </w:r>
          </w:p>
        </w:tc>
        <w:tc>
          <w:tcPr>
            <w:tcW w:type="dxa" w:w="3413"/>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Type A — Modèle universel prédictif</w:t>
            </w:r>
          </w:p>
        </w:tc>
        <w:tc>
          <w:tcPr>
            <w:tcW w:type="dxa" w:w="3413"/>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Type B — Modèle structurel contextuel</w:t>
            </w:r>
          </w:p>
        </w:tc>
      </w:tr>
      <w:tr>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Objectif</w:t>
            </w:r>
          </w:p>
        </w:tc>
        <w:tc>
          <w:tcPr>
            <w:tcW w:type="dxa" w:w="3413"/>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Prédire des observations hors-échantillon</w:t>
            </w:r>
          </w:p>
        </w:tc>
        <w:tc>
          <w:tcPr>
            <w:tcW w:type="dxa" w:w="3413"/>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Formaliser et comparer des cas documentés</w:t>
            </w:r>
          </w:p>
        </w:tc>
      </w:tr>
      <w:tr>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Paramètres</w:t>
            </w:r>
          </w:p>
        </w:tc>
        <w:tc>
          <w:tcPr>
            <w:tcW w:type="dxa" w:w="3413"/>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Constantes universelles calibrées une fois</w:t>
            </w:r>
          </w:p>
        </w:tc>
        <w:tc>
          <w:tcPr>
            <w:tcW w:type="dxa" w:w="3413"/>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Valeurs contextuelles justifiées par cas</w:t>
            </w:r>
          </w:p>
        </w:tc>
      </w:tr>
      <w:tr>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Critère de validité</w:t>
            </w:r>
          </w:p>
        </w:tc>
        <w:tc>
          <w:tcPr>
            <w:tcW w:type="dxa" w:w="3413"/>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Identifiabilité stricte + validation out-of-sample</w:t>
            </w:r>
          </w:p>
        </w:tc>
        <w:tc>
          <w:tcPr>
            <w:tcW w:type="dxa" w:w="3413"/>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Exogénéité + traçabilité + bornes contraintes</w:t>
            </w:r>
          </w:p>
        </w:tc>
      </w:tr>
      <w:tr>
        <w:tc>
          <w:tcPr>
            <w:tcW w:type="dxa" w:w="2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Exemples</w:t>
            </w:r>
          </w:p>
        </w:tc>
        <w:tc>
          <w:tcPr>
            <w:tcW w:type="dxa" w:w="3413"/>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Turchin (cycles séculaires), épidémiologie</w:t>
            </w:r>
          </w:p>
        </w:tc>
        <w:tc>
          <w:tcPr>
            <w:tcW w:type="dxa" w:w="3413"/>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Tainter (complexité), Acemoglu (institutions)</w:t>
            </w:r>
          </w:p>
        </w:tc>
      </w:tr>
      <w:tr>
        <w:tc>
          <w:tcPr>
            <w:tcW w:type="dxa" w:w="2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MEPA appartient à</w:t>
            </w:r>
          </w:p>
        </w:tc>
        <w:tc>
          <w:tcPr>
            <w:tcW w:type="dxa" w:w="3413"/>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3413"/>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E6B3C"/>
                <w:sz w:val="18"/>
                <w:szCs w:val="18"/>
              </w:rPr>
              <w:t xml:space="preserve">Type B — revendiqué explicitement</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P3.2 — Les trois conditions de la falsifiabilité conditionnelle</w:t>
      </w:r>
    </w:p>
    <w:p>
      <w:pPr>
        <w:spacing w:before="60" w:after="60"/>
        <w:jc w:val="left"/>
      </w:pPr>
      <w:r>
        <w:rPr>
          <w:rFonts w:ascii="Arial" w:cs="Arial" w:eastAsia="Arial" w:hAnsi="Arial"/>
          <w:color w:val="444444"/>
          <w:sz w:val="20"/>
          <w:szCs w:val="20"/>
        </w:rPr>
        <w:t xml:space="preserve">MEPA V6.2 remplit ces trois conditions, qui définissent le standard de rigueur revendiqué :</w:t>
      </w:r>
    </w:p>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Condition</w:t>
            </w:r>
          </w:p>
        </w:tc>
        <w:tc>
          <w:tcPr>
            <w:tcW w:type="dxa" w:w="72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Implémentation MEPA V6.2</w:t>
            </w:r>
          </w:p>
        </w:tc>
      </w:tr>
      <w:tr>
        <w:tc>
          <w:tcPr>
            <w:tcW w:type="dxa" w:w="1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Exogénéité</w:t>
            </w:r>
          </w:p>
        </w:tc>
        <w:tc>
          <w:tcPr>
            <w:tcW w:type="dxa" w:w="72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Les paramètres de commande (T, Mob, R, γ, EROI...) sont codés par CONV-E avant que la simulation soit lancée. Ils ne sont pas ajustés a posteriori pour forcer une trajectoire cible.</w:t>
            </w:r>
          </w:p>
        </w:tc>
      </w:tr>
      <w:tr>
        <w:tc>
          <w:tcPr>
            <w:tcW w:type="dxa" w:w="1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Traçabilité</w:t>
            </w:r>
          </w:p>
        </w:tc>
        <w:tc>
          <w:tcPr>
            <w:tcW w:type="dxa" w:w="72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Chaque valeur de paramètre est associée à une source de niveau N1-N6 dans la fiche de codage. La justification est archivée et reproductible. Un lecteur externe peut contester la valeur et proposer une alternative documentée.</w:t>
            </w:r>
          </w:p>
        </w:tc>
      </w:tr>
      <w:tr>
        <w:tc>
          <w:tcPr>
            <w:tcW w:type="dxa" w:w="1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Bornes corpus</w:t>
            </w:r>
          </w:p>
        </w:tc>
        <w:tc>
          <w:tcPr>
            <w:tcW w:type="dxa" w:w="72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mepa_constants.json définit les plages admissibles pour chaque paramètre à l'échelle du corpus. Tout paramètre approchant une borne doit être signalé et justifié. Les bornes sont définies indépendamment de chaque cas.</w:t>
            </w:r>
          </w:p>
        </w:tc>
      </w:tr>
    </w:tbl>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C47A1E" w:sz="8"/>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C47A1E"/>
                <w:sz w:val="18"/>
                <w:szCs w:val="18"/>
              </w:rPr>
              <w:t xml:space="preserve">mepa_constants.json — </w:t>
            </w:r>
            <w:r>
              <w:rPr>
                <w:rFonts w:ascii="Arial" w:cs="Arial" w:eastAsia="Arial" w:hAnsi="Arial"/>
                <w:color w:val="444444"/>
                <w:sz w:val="18"/>
                <w:szCs w:val="18"/>
              </w:rPr>
              <w:t xml:space="preserve">Ce fichier définit pour chaque paramètre p1–p13, λ, μ, ν, ρ les bornes théoriquement admissibles. Il contraint l'espace de paramétrage sans écraser la variance légitime entre cas. Si p6=0.05 pour Islande 2008 et p6=0.80 pour Haïti 1791, cet écart n'est pas un symptôme d'instabilité — c'est une formalisation quantitative de la différence historique. mepa_runner_v2_gamma.py vérifie ces bornes à chaque simulation.</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P3.3 — Annexe Identifiabilité (à produire sur WP-C1-1 Haïti)</w:t>
      </w:r>
    </w:p>
    <w:p>
      <w:pPr>
        <w:spacing w:before="60" w:after="60"/>
        <w:jc w:val="left"/>
      </w:pPr>
      <w:r>
        <w:rPr>
          <w:rFonts w:ascii="Arial" w:cs="Arial" w:eastAsia="Arial" w:hAnsi="Arial"/>
          <w:color w:val="444444"/>
          <w:sz w:val="20"/>
          <w:szCs w:val="20"/>
        </w:rPr>
        <w:t xml:space="preserve">Pour répondre formellement au Reviewer Hostile sans modifier l'architecture du modèle, MEPA V6.2 s'engage à produire, sur WP-C1-1 Haïti (cas de référence du corpus V6.2), une analyse de sensibilité structurelle documentant que :</w:t>
      </w:r>
    </w:p>
    <w:p>
      <w:pPr>
        <w:spacing w:before="0" w:after="0"/>
        <w:jc w:val="left"/>
      </w:pPr>
      <w:r>
        <w:rPr>
          <w:rFonts w:ascii="Arial" w:cs="Arial" w:eastAsia="Arial" w:hAnsi="Arial"/>
          <w:color w:val="444444"/>
          <w:sz w:val="20"/>
          <w:szCs w:val="20"/>
        </w:rPr>
        <w:t xml:space="preserve"/>
      </w:r>
    </w:p>
    <w:p>
      <w:pPr>
        <w:pStyle w:val="ListParagraph"/>
        <w:numPr>
          <w:ilvl w:val="0"/>
          <w:numId w:val="2"/>
        </w:numPr>
        <w:spacing w:before="40" w:after="40"/>
      </w:pPr>
      <w:r>
        <w:rPr>
          <w:rFonts w:ascii="Arial" w:cs="Arial" w:eastAsia="Arial" w:hAnsi="Arial"/>
          <w:color w:val="444444"/>
          <w:sz w:val="20"/>
          <w:szCs w:val="20"/>
        </w:rPr>
        <w:t xml:space="preserve">La trajectoire (d) est instable si l'on sort des bornes corpus sur les paramètres dynamiques p4, p6, p9.</w:t>
      </w:r>
    </w:p>
    <w:p>
      <w:pPr>
        <w:pStyle w:val="ListParagraph"/>
        <w:numPr>
          <w:ilvl w:val="0"/>
          <w:numId w:val="2"/>
        </w:numPr>
        <w:spacing w:before="40" w:after="40"/>
      </w:pPr>
      <w:r>
        <w:rPr>
          <w:rFonts w:ascii="Arial" w:cs="Arial" w:eastAsia="Arial" w:hAnsi="Arial"/>
          <w:color w:val="444444"/>
          <w:sz w:val="20"/>
          <w:szCs w:val="20"/>
        </w:rPr>
        <w:t xml:space="preserve">La substitution des fonctions de saturation (θ_C → tanh) ne modifie pas qualitativement la classification de trajectoire.</w:t>
      </w:r>
    </w:p>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2A7F7F" w:sz="8"/>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2A7F7F"/>
                <w:sz w:val="18"/>
                <w:szCs w:val="18"/>
              </w:rPr>
              <w:t xml:space="preserve">Note V6.2 — </w:t>
            </w:r>
            <w:r>
              <w:rPr>
                <w:rFonts w:ascii="Arial" w:cs="Arial" w:eastAsia="Arial" w:hAnsi="Arial"/>
                <w:color w:val="444444"/>
                <w:sz w:val="18"/>
                <w:szCs w:val="18"/>
              </w:rPr>
              <w:t xml:space="preserve">La référence au cas WP-C1-1 est mise à jour : Islande 2008 (V6.0/V6.1) → Haïti 2010-2024 (V6.2). Haïti est désormais l'ancre de calibration plancher du corpus (trajectoire (d), EROI critique 1.2→2.0).</w:t>
            </w:r>
          </w:p>
        </w:tc>
      </w:tr>
    </w:tbl>
    <w:p>
      <w:pPr>
        <w:spacing w:before="0" w:after="0"/>
        <w:jc w:val="left"/>
      </w:pPr>
      <w:r>
        <w:rPr>
          <w:rFonts w:ascii="Arial" w:cs="Arial" w:eastAsia="Arial" w:hAnsi="Arial"/>
          <w:color w:val="444444"/>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D8E" w:sz="6"/>
              <w:left w:val="single" w:color="5B2D8E" w:sz="6"/>
              <w:bottom w:val="single" w:color="5B2D8E" w:sz="6"/>
              <w:right w:val="single" w:color="5B2D8E" w:sz="6"/>
            </w:tcBorders>
            <w:shd w:fill="EDF3FA" w:val="clear"/>
            <w:tcMar>
              <w:top w:type="dxa" w:w="120"/>
              <w:left w:type="dxa" w:w="200"/>
              <w:bottom w:type="dxa" w:w="120"/>
              <w:right w:type="dxa" w:w="200"/>
            </w:tcMar>
          </w:tcPr>
          <w:p>
            <w:pPr>
              <w:spacing w:before="0" w:after="20"/>
              <w:jc w:val="center"/>
            </w:pPr>
            <w:r>
              <w:rPr>
                <w:rFonts w:ascii="Arial" w:cs="Arial" w:eastAsia="Arial" w:hAnsi="Arial"/>
                <w:b/>
                <w:bCs/>
                <w:color w:val="5B2D8E"/>
                <w:sz w:val="28"/>
                <w:szCs w:val="28"/>
              </w:rPr>
              <w:t xml:space="preserve">PILIER P4</w:t>
            </w:r>
          </w:p>
          <w:p>
            <w:pPr>
              <w:spacing w:before="0" w:after="0"/>
              <w:jc w:val="center"/>
            </w:pPr>
            <w:r>
              <w:rPr>
                <w:rFonts w:ascii="Arial" w:cs="Arial" w:eastAsia="Arial" w:hAnsi="Arial"/>
                <w:b/>
                <w:bCs/>
                <w:color w:val="5B2D8E"/>
                <w:sz w:val="24"/>
                <w:szCs w:val="24"/>
              </w:rPr>
              <w:t xml:space="preserve">Le Protocole d'Inférence IA — LLM comme opérateur</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L'usage de modèles de langage de grande taille (LLM) dans les pipelines de recherche en sciences sociales est soumis à une critique récurrente : le LLM n'est pas un chercheur — il est un système probabiliste entraîné à produire des textes plausibles, sans accès à la vérité des faits et sans capacité de jugement épistémique autonome. Cette critique est fondamentalement juste. MEPA V6.2 ne la contredit pas : il l'intègre comme contrainte de conception.</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P4.1 — Redéfinition du rôle du LLM dans MEPA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13"/>
        <w:gridCol w:w="3213"/>
      </w:tblGrid>
      <w:tr>
        <w:trPr>
          <w:tblHeader/>
        </w:trPr>
        <w:tc>
          <w:tcPr>
            <w:tcW w:type="dxa" w:w="2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Paradigme</w:t>
            </w:r>
          </w:p>
        </w:tc>
        <w:tc>
          <w:tcPr>
            <w:tcW w:type="dxa" w:w="3413"/>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Description</w:t>
            </w:r>
          </w:p>
        </w:tc>
        <w:tc>
          <w:tcPr>
            <w:tcW w:type="dxa" w:w="3213"/>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Risque principal</w:t>
            </w:r>
          </w:p>
        </w:tc>
      </w:tr>
      <w:tr>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8B1A1A"/>
                <w:sz w:val="18"/>
                <w:szCs w:val="18"/>
              </w:rPr>
              <w:t xml:space="preserve">LLM comme penseur</w:t>
            </w:r>
          </w:p>
        </w:tc>
        <w:tc>
          <w:tcPr>
            <w:tcW w:type="dxa" w:w="3413"/>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L'IA génère des analyses, hypothèses, interprétations librement</w:t>
            </w:r>
          </w:p>
        </w:tc>
        <w:tc>
          <w:tcPr>
            <w:tcW w:type="dxa" w:w="3213"/>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8B1A1A"/>
                <w:sz w:val="17"/>
                <w:szCs w:val="17"/>
              </w:rPr>
              <w:t xml:space="preserve">Hallucination · biais confirmatoire · absence de reproductibilité</w:t>
            </w:r>
          </w:p>
        </w:tc>
      </w:tr>
      <w:tr>
        <w:tc>
          <w:tcPr>
            <w:tcW w:type="dxa" w:w="2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E6B3C"/>
                <w:sz w:val="18"/>
                <w:szCs w:val="18"/>
              </w:rPr>
              <w:t xml:space="preserve">LLM comme opérateur d'inférence</w:t>
            </w:r>
          </w:p>
        </w:tc>
        <w:tc>
          <w:tcPr>
            <w:tcW w:type="dxa" w:w="3413"/>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L'IA applique une grille contrainte à des sources données, produit des valeurs numériques justifiées</w:t>
            </w:r>
          </w:p>
        </w:tc>
        <w:tc>
          <w:tcPr>
            <w:tcW w:type="dxa" w:w="3213"/>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C47A1E"/>
                <w:sz w:val="17"/>
                <w:szCs w:val="17"/>
              </w:rPr>
              <w:t xml:space="preserve">Corrélation d'erreurs inter-instances — géré par double aveugle</w:t>
            </w:r>
          </w:p>
        </w:tc>
      </w:tr>
      <w:tr>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MEPA V6.2 utilise</w:t>
            </w:r>
          </w:p>
        </w:tc>
        <w:tc>
          <w:tcPr>
            <w:tcW w:type="dxa" w:w="3413"/>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3213"/>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E6B3C"/>
                <w:sz w:val="18"/>
                <w:szCs w:val="18"/>
              </w:rPr>
              <w:t xml:space="preserve">Opérateur d'inférence exclusivement</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P4.2 — Architecture du double aveugle n8n</w:t>
      </w:r>
    </w:p>
    <w:p>
      <w:pPr>
        <w:spacing w:before="60" w:after="60"/>
        <w:jc w:val="left"/>
      </w:pPr>
      <w:r>
        <w:rPr>
          <w:rFonts w:ascii="Arial" w:cs="Arial" w:eastAsia="Arial" w:hAnsi="Arial"/>
          <w:color w:val="444444"/>
          <w:sz w:val="20"/>
          <w:szCs w:val="20"/>
        </w:rPr>
        <w:t xml:space="preserve">L'indépendance des deux codeurs LLM (CONV-E et CONV-B) ne repose pas sur le seul choix de modèles différents — la corrélation de biais entre grands modèles de langage rend cette approche insuffisante. Elle repose sur l'étanchéité informationnelle du flux, implémentée dans le workflow n8n :</w:t>
      </w:r>
    </w:p>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5B2D8E" w:sz="6"/>
              <w:bottom w:val="single" w:color="AABDD4" w:sz="1"/>
              <w:right w:val="single" w:color="AABDD4" w:sz="1"/>
            </w:tcBorders>
            <w:shd w:fill="F4F4F4" w:val="clear"/>
            <w:tcMar>
              <w:top w:type="dxa" w:w="80"/>
              <w:left w:type="dxa" w:w="160"/>
              <w:bottom w:type="dxa" w:w="80"/>
              <w:right w:type="dxa" w:w="120"/>
            </w:tcMar>
          </w:tcPr>
          <w:p>
            <w:pPr>
              <w:spacing w:before="0" w:after="4"/>
              <w:jc w:val="left"/>
            </w:pPr>
            <w:r>
              <w:rPr>
                <w:rFonts w:ascii="Arial" w:cs="Arial" w:eastAsia="Arial" w:hAnsi="Arial"/>
                <w:color w:val="444444"/>
                <w:sz w:val="20"/>
                <w:szCs w:val="20"/>
              </w:rPr>
              <w:t xml:space="preserve">Sources historiques (N1–N6)  →  CONV-E  →  Valeurs A (fiche_codage_convE.json)</w:t>
            </w:r>
          </w:p>
          <w:p>
            <w:pPr>
              <w:spacing w:before="0" w:after="4"/>
              <w:jc w:val="left"/>
            </w:pPr>
            <w:r>
              <w:rPr>
                <w:rFonts w:ascii="Arial" w:cs="Arial" w:eastAsia="Arial" w:hAnsi="Arial"/>
                <w:color w:val="444444"/>
                <w:sz w:val="20"/>
                <w:szCs w:val="20"/>
              </w:rPr>
              <w:t xml:space="preserve">Sources historiques (N1–N6)  →  CONV-B  →  Valeurs B (fiche_codage_convB.json)</w:t>
            </w:r>
          </w:p>
          <w:p>
            <w:pPr>
              <w:spacing w:before="0" w:after="4"/>
              <w:jc w:val="left"/>
            </w:pPr>
            <w:r>
              <w:rPr>
                <w:rFonts w:ascii="Arial" w:cs="Arial" w:eastAsia="Arial" w:hAnsi="Arial"/>
                <w:color w:val="444444"/>
                <w:sz w:val="20"/>
                <w:szCs w:val="20"/>
              </w:rPr>
              <w:t xml:space="preserve">mepa_kappa_calculator.py (CCI) compare A et B a posteriori, sans que CONV-B ait eu accès aux valeurs de CONV-E.</w:t>
            </w:r>
          </w:p>
          <w:p>
            <w:pPr>
              <w:spacing w:before="0" w:after="0"/>
              <w:jc w:val="left"/>
            </w:pPr>
            <w:r>
              <w:rPr>
                <w:rFonts w:ascii="Arial" w:cs="Arial" w:eastAsia="Arial" w:hAnsi="Arial"/>
                <w:b/>
                <w:bCs/>
                <w:color w:val="5B2D8E"/>
                <w:sz w:val="18"/>
                <w:szCs w:val="18"/>
              </w:rPr>
              <w:t xml:space="preserve">Condition d'étanchéité vérifiable : </w:t>
            </w:r>
            <w:r>
              <w:rPr>
                <w:rFonts w:ascii="Arial" w:cs="Arial" w:eastAsia="Arial" w:hAnsi="Arial"/>
                <w:color w:val="444444"/>
                <w:sz w:val="18"/>
                <w:szCs w:val="18"/>
              </w:rPr>
              <w:t xml:space="preserve">le workflow n8n est exportable et auditable — un tiers peut confirmer l'absence de flux entre les deux branches d'inférence.</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P4.3 — MEPA comme Proof of Concept pour la recherche IA rigoureuse</w:t>
      </w:r>
    </w:p>
    <w:p>
      <w:pPr>
        <w:spacing w:before="60" w:after="60"/>
        <w:jc w:val="left"/>
      </w:pPr>
      <w:r>
        <w:rPr>
          <w:rFonts w:ascii="Arial" w:cs="Arial" w:eastAsia="Arial" w:hAnsi="Arial"/>
          <w:color w:val="444444"/>
          <w:sz w:val="20"/>
          <w:szCs w:val="20"/>
        </w:rPr>
        <w:t xml:space="preserve">Au-delà de ses objectifs de modélisation historique, MEPA V6.2 constitue une démonstration de trois propositions sur l'usage des LLM en recherche scientifique :</w:t>
      </w:r>
    </w:p>
    <w:p>
      <w:pPr>
        <w:spacing w:before="0" w:after="0"/>
        <w:jc w:val="left"/>
      </w:pPr>
      <w:r>
        <w:rPr>
          <w:rFonts w:ascii="Arial" w:cs="Arial" w:eastAsia="Arial" w:hAnsi="Arial"/>
          <w:color w:val="444444"/>
          <w:sz w:val="20"/>
          <w:szCs w:val="20"/>
        </w:rPr>
        <w:t xml:space="preserve"/>
      </w:r>
    </w:p>
    <w:p>
      <w:pPr>
        <w:pStyle w:val="ListParagraph"/>
        <w:numPr>
          <w:ilvl w:val="0"/>
          <w:numId w:val="2"/>
        </w:numPr>
        <w:spacing w:before="40" w:after="40"/>
      </w:pPr>
      <w:r>
        <w:rPr>
          <w:rFonts w:ascii="Arial" w:cs="Arial" w:eastAsia="Arial" w:hAnsi="Arial"/>
          <w:color w:val="444444"/>
          <w:sz w:val="20"/>
          <w:szCs w:val="20"/>
        </w:rPr>
        <w:t xml:space="preserve">Un LLM peut opérer comme instrument de mesure reproductible si et seulement si son rôle est strictement circonscrit à une inférence sous protocole explicite — non à un raisonnement libre.</w:t>
      </w:r>
    </w:p>
    <w:p>
      <w:pPr>
        <w:pStyle w:val="ListParagraph"/>
        <w:numPr>
          <w:ilvl w:val="0"/>
          <w:numId w:val="2"/>
        </w:numPr>
        <w:spacing w:before="40" w:after="40"/>
      </w:pPr>
      <w:r>
        <w:rPr>
          <w:rFonts w:ascii="Arial" w:cs="Arial" w:eastAsia="Arial" w:hAnsi="Arial"/>
          <w:color w:val="444444"/>
          <w:sz w:val="20"/>
          <w:szCs w:val="20"/>
        </w:rPr>
        <w:t xml:space="preserve">La variable NC démontre qu'un LLM peut être instruit à exercer un silence méthodologique, résistant à la pression de produire une réponse face à des données insuffisantes. C'est la réponse empirique la plus directe à la critique d'hallucination systémique.</w:t>
      </w:r>
    </w:p>
    <w:p>
      <w:pPr>
        <w:pStyle w:val="ListParagraph"/>
        <w:numPr>
          <w:ilvl w:val="0"/>
          <w:numId w:val="2"/>
        </w:numPr>
        <w:spacing w:before="40" w:after="40"/>
      </w:pPr>
      <w:r>
        <w:rPr>
          <w:rFonts w:ascii="Arial" w:cs="Arial" w:eastAsia="Arial" w:hAnsi="Arial"/>
          <w:color w:val="444444"/>
          <w:sz w:val="20"/>
          <w:szCs w:val="20"/>
        </w:rPr>
        <w:t xml:space="preserve">La traçabilité complète du pipeline (sources → codage → audit CCI → simulation → passeport) rend le processus d'inférence IA auditablement reproductible.</w:t>
      </w:r>
    </w:p>
    <w:p>
      <w:pPr>
        <w:spacing w:before="0" w:after="0"/>
        <w:jc w:val="left"/>
      </w:pPr>
      <w:r>
        <w:rPr>
          <w:rFonts w:ascii="Arial" w:cs="Arial" w:eastAsia="Arial" w:hAnsi="Arial"/>
          <w:color w:val="444444"/>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7F7F" w:sz="6"/>
              <w:left w:val="single" w:color="2A7F7F" w:sz="6"/>
              <w:bottom w:val="single" w:color="2A7F7F" w:sz="6"/>
              <w:right w:val="single" w:color="2A7F7F" w:sz="6"/>
            </w:tcBorders>
            <w:shd w:fill="EDF3FA" w:val="clear"/>
            <w:tcMar>
              <w:top w:type="dxa" w:w="120"/>
              <w:left w:type="dxa" w:w="200"/>
              <w:bottom w:type="dxa" w:w="120"/>
              <w:right w:type="dxa" w:w="200"/>
            </w:tcMar>
          </w:tcPr>
          <w:p>
            <w:pPr>
              <w:spacing w:before="0" w:after="20"/>
              <w:jc w:val="center"/>
            </w:pPr>
            <w:r>
              <w:rPr>
                <w:rFonts w:ascii="Arial" w:cs="Arial" w:eastAsia="Arial" w:hAnsi="Arial"/>
                <w:b/>
                <w:bCs/>
                <w:color w:val="2A7F7F"/>
                <w:sz w:val="28"/>
                <w:szCs w:val="28"/>
              </w:rPr>
              <w:t xml:space="preserve">PILIER P5</w:t>
            </w:r>
          </w:p>
          <w:p>
            <w:pPr>
              <w:spacing w:before="0" w:after="0"/>
              <w:jc w:val="center"/>
            </w:pPr>
            <w:r>
              <w:rPr>
                <w:rFonts w:ascii="Arial" w:cs="Arial" w:eastAsia="Arial" w:hAnsi="Arial"/>
                <w:b/>
                <w:bCs/>
                <w:color w:val="2A7F7F"/>
                <w:sz w:val="24"/>
                <w:szCs w:val="24"/>
              </w:rPr>
              <w:t xml:space="preserve">La Friction de Raisonnement — Mesurer l'ambiguïté historique</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Dans les approches classiques de modélisation historique, l'ambiguïté des sources est traitée comme un obstacle à surmonter. MEPA V6.2 introduit un renversement de perspective : les divergences entre les deux instances LLM ne sont pas seulement un problème de fiabilité à minimiser — elles sont un signal sur la structure de l'ambiguïté historique.</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P5.1 — Définition formelle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2A7F7F" w:sz="6"/>
              <w:bottom w:val="single" w:color="AABDD4" w:sz="1"/>
              <w:right w:val="single" w:color="AABDD4" w:sz="1"/>
            </w:tcBorders>
            <w:shd w:fill="F4F4F4" w:val="clear"/>
            <w:tcMar>
              <w:top w:type="dxa" w:w="80"/>
              <w:left w:type="dxa" w:w="160"/>
              <w:bottom w:type="dxa" w:w="80"/>
              <w:right w:type="dxa" w:w="120"/>
            </w:tcMar>
          </w:tcPr>
          <w:p>
            <w:pPr>
              <w:spacing w:before="0" w:after="8"/>
              <w:jc w:val="left"/>
            </w:pPr>
            <w:r>
              <w:rPr>
                <w:rFonts w:ascii="Arial" w:cs="Arial" w:eastAsia="Arial" w:hAnsi="Arial"/>
                <w:b/>
                <w:bCs/>
                <w:color w:val="2A7F7F"/>
                <w:sz w:val="18"/>
                <w:szCs w:val="18"/>
              </w:rPr>
              <w:t xml:space="preserve">F(v, h) = </w:t>
            </w:r>
            <w:r>
              <w:rPr>
                <w:rFonts w:ascii="Arial" w:cs="Arial" w:eastAsia="Arial" w:hAnsi="Arial"/>
                <w:color w:val="444444"/>
                <w:sz w:val="18"/>
                <w:szCs w:val="18"/>
              </w:rPr>
              <w:t xml:space="preserve">|Valeur_CONV-E(v, h) − Valeur_CONV-B(v, h)| / Seuil_CCI(v)</w:t>
            </w:r>
          </w:p>
          <w:p>
            <w:pPr>
              <w:spacing w:before="0" w:after="8"/>
              <w:jc w:val="left"/>
            </w:pPr>
            <w:r>
              <w:rPr>
                <w:rFonts w:ascii="Arial" w:cs="Arial" w:eastAsia="Arial" w:hAnsi="Arial"/>
                <w:color w:val="444444"/>
                <w:sz w:val="20"/>
                <w:szCs w:val="20"/>
              </w:rPr>
              <w:t xml:space="preserve">F(v, h) ∈ [0, ∞)  —  F = 0 : accord parfait  —  F = 1 : désaccord au seuil exact  —  F &gt; 1 : désaccord significatif</w:t>
            </w:r>
          </w:p>
          <w:p>
            <w:pPr>
              <w:spacing w:before="0" w:after="0"/>
              <w:jc w:val="left"/>
            </w:pPr>
            <w:r>
              <w:rPr>
                <w:rFonts w:ascii="Arial" w:cs="Arial" w:eastAsia="Arial" w:hAnsi="Arial"/>
                <w:color w:val="444444"/>
                <w:sz w:val="20"/>
                <w:szCs w:val="20"/>
              </w:rPr>
              <w:t xml:space="preserve">Pour les variables NC : F(v, h) = NC  (signal distinct de la friction numérique)</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P5.2 — Ce que la friction révèle sur l'histoire</w:t>
      </w:r>
    </w:p>
    <w:p>
      <w:pPr>
        <w:spacing w:before="60" w:after="60"/>
        <w:jc w:val="left"/>
      </w:pPr>
      <w:r>
        <w:rPr>
          <w:rFonts w:ascii="Arial" w:cs="Arial" w:eastAsia="Arial" w:hAnsi="Arial"/>
          <w:color w:val="444444"/>
          <w:sz w:val="20"/>
          <w:szCs w:val="20"/>
        </w:rPr>
        <w:t xml:space="preserve">Une friction élevée et systématique sur une variable donnée, observée sur plusieurs WP d'un même cluster, révèle une propriété structurelle de l'histoire documentée : cette variable est intrinsèquement difficile à inférer depuis les sources disponibles. Ce peut être dû à :</w:t>
      </w:r>
    </w:p>
    <w:p>
      <w:pPr>
        <w:spacing w:before="0" w:after="0"/>
        <w:jc w:val="left"/>
      </w:pPr>
      <w:r>
        <w:rPr>
          <w:rFonts w:ascii="Arial" w:cs="Arial" w:eastAsia="Arial" w:hAnsi="Arial"/>
          <w:color w:val="444444"/>
          <w:sz w:val="20"/>
          <w:szCs w:val="20"/>
        </w:rPr>
        <w:t xml:space="preserve"/>
      </w:r>
    </w:p>
    <w:p>
      <w:pPr>
        <w:pStyle w:val="ListParagraph"/>
        <w:numPr>
          <w:ilvl w:val="0"/>
          <w:numId w:val="2"/>
        </w:numPr>
        <w:spacing w:before="40" w:after="40"/>
      </w:pPr>
      <w:r>
        <w:rPr>
          <w:rFonts w:ascii="Arial" w:cs="Arial" w:eastAsia="Arial" w:hAnsi="Arial"/>
          <w:color w:val="444444"/>
          <w:sz w:val="20"/>
          <w:szCs w:val="20"/>
        </w:rPr>
        <w:t xml:space="preserve">Une sous-représentation documentaire structurelle (les régimes répressifs produisent peu de sources sur la légitimité perçue)</w:t>
      </w:r>
    </w:p>
    <w:p>
      <w:pPr>
        <w:pStyle w:val="ListParagraph"/>
        <w:numPr>
          <w:ilvl w:val="0"/>
          <w:numId w:val="2"/>
        </w:numPr>
        <w:spacing w:before="40" w:after="40"/>
      </w:pPr>
      <w:r>
        <w:rPr>
          <w:rFonts w:ascii="Arial" w:cs="Arial" w:eastAsia="Arial" w:hAnsi="Arial"/>
          <w:color w:val="444444"/>
          <w:sz w:val="20"/>
          <w:szCs w:val="20"/>
        </w:rPr>
        <w:t xml:space="preserve">Une ambiguïté conceptuelle de la variable pour certains contextes (la notion de « capital institutionnel » C dans des sociétés sans institutions formalisées)</w:t>
      </w:r>
    </w:p>
    <w:p>
      <w:pPr>
        <w:pStyle w:val="ListParagraph"/>
        <w:numPr>
          <w:ilvl w:val="0"/>
          <w:numId w:val="2"/>
        </w:numPr>
        <w:spacing w:before="40" w:after="40"/>
      </w:pPr>
      <w:r>
        <w:rPr>
          <w:rFonts w:ascii="Arial" w:cs="Arial" w:eastAsia="Arial" w:hAnsi="Arial"/>
          <w:color w:val="444444"/>
          <w:sz w:val="20"/>
          <w:szCs w:val="20"/>
        </w:rPr>
        <w:t xml:space="preserve">Une dépendance aux sources de niveau N4-N6 pour lesquelles la variance interprétative est structurellement plus élevée</w:t>
      </w:r>
    </w:p>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2A7F7F" w:sz="8"/>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2A7F7F"/>
                <w:sz w:val="18"/>
                <w:szCs w:val="18"/>
              </w:rPr>
              <w:t xml:space="preserve">Réversibilité interprétative — </w:t>
            </w:r>
            <w:r>
              <w:rPr>
                <w:rFonts w:ascii="Arial" w:cs="Arial" w:eastAsia="Arial" w:hAnsi="Arial"/>
                <w:color w:val="444444"/>
                <w:sz w:val="18"/>
                <w:szCs w:val="18"/>
              </w:rPr>
              <w:t xml:space="preserve">La friction peut être lue dans deux directions. De l'IA vers l'histoire : une friction élevée sur γ pour les cas de Cluster C1 signale que la cohésion culturelle est particulièrement difficile à quantifier dans des contextes de contrainte énergétique extrême — ce qui est lui-même un résultat historique. De l'histoire vers l'IA : un profil de friction stable entre V6.2 et une version V7 indiquerait que les améliorations du pipeline n'ont pas réduit l'ambiguïté documentaire fondamentale.</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P5.3 — Structure de mepa_friction_profile.json</w:t>
      </w:r>
    </w:p>
    <w:p>
      <w:pPr>
        <w:spacing w:before="60" w:after="60"/>
        <w:jc w:val="left"/>
      </w:pPr>
      <w:r>
        <w:rPr>
          <w:rFonts w:ascii="Arial" w:cs="Arial" w:eastAsia="Arial" w:hAnsi="Arial"/>
          <w:color w:val="444444"/>
          <w:sz w:val="20"/>
          <w:szCs w:val="20"/>
        </w:rPr>
        <w:t xml:space="preserve">Ce fichier agrégé est produit incrémentalement à chaque nouveau WP certifié. Il contient, par variable et par cluster :</w:t>
      </w:r>
    </w:p>
    <w:p>
      <w:pPr>
        <w:spacing w:before="0" w:after="0"/>
        <w:jc w:val="left"/>
      </w:pPr>
      <w:r>
        <w:rPr>
          <w:rFonts w:ascii="Arial" w:cs="Arial" w:eastAsia="Arial" w:hAnsi="Arial"/>
          <w:color w:val="444444"/>
          <w:sz w:val="20"/>
          <w:szCs w:val="20"/>
        </w:rPr>
        <w:t xml:space="preserve"/>
      </w:r>
    </w:p>
    <w:p>
      <w:pPr>
        <w:pStyle w:val="ListParagraph"/>
        <w:numPr>
          <w:ilvl w:val="0"/>
          <w:numId w:val="2"/>
        </w:numPr>
        <w:spacing w:before="40" w:after="40"/>
      </w:pPr>
      <w:r>
        <w:rPr>
          <w:rFonts w:ascii="Arial" w:cs="Arial" w:eastAsia="Arial" w:hAnsi="Arial"/>
          <w:color w:val="444444"/>
          <w:sz w:val="20"/>
          <w:szCs w:val="20"/>
        </w:rPr>
        <w:t xml:space="preserve">La distribution empirique de F(v, ·) sur le corpus : moyenne, écart-type, minimum, maximum, quantiles</w:t>
      </w:r>
    </w:p>
    <w:p>
      <w:pPr>
        <w:pStyle w:val="ListParagraph"/>
        <w:numPr>
          <w:ilvl w:val="0"/>
          <w:numId w:val="2"/>
        </w:numPr>
        <w:spacing w:before="40" w:after="40"/>
      </w:pPr>
      <w:r>
        <w:rPr>
          <w:rFonts w:ascii="Arial" w:cs="Arial" w:eastAsia="Arial" w:hAnsi="Arial"/>
          <w:color w:val="444444"/>
          <w:sz w:val="20"/>
          <w:szCs w:val="20"/>
        </w:rPr>
        <w:t xml:space="preserve">Le taux NC par variable : proportion des WP pour lesquels la variable est non-codable</w:t>
      </w:r>
    </w:p>
    <w:p>
      <w:pPr>
        <w:pStyle w:val="ListParagraph"/>
        <w:numPr>
          <w:ilvl w:val="0"/>
          <w:numId w:val="2"/>
        </w:numPr>
        <w:spacing w:before="40" w:after="40"/>
      </w:pPr>
      <w:r>
        <w:rPr>
          <w:rFonts w:ascii="Arial" w:cs="Arial" w:eastAsia="Arial" w:hAnsi="Arial"/>
          <w:color w:val="444444"/>
          <w:sz w:val="20"/>
          <w:szCs w:val="20"/>
        </w:rPr>
        <w:t xml:space="preserve">Le niveau de source médian (N1–N6) utilisé pour coder chaque variable à l'échelle du corpus</w:t>
      </w:r>
    </w:p>
    <w:p>
      <w:pPr>
        <w:pStyle w:val="ListParagraph"/>
        <w:numPr>
          <w:ilvl w:val="0"/>
          <w:numId w:val="2"/>
        </w:numPr>
        <w:spacing w:before="40" w:after="40"/>
      </w:pPr>
      <w:r>
        <w:rPr>
          <w:rFonts w:ascii="Arial" w:cs="Arial" w:eastAsia="Arial" w:hAnsi="Arial"/>
          <w:color w:val="444444"/>
          <w:sz w:val="20"/>
          <w:szCs w:val="20"/>
        </w:rPr>
        <w:t xml:space="preserve">Les outliers de friction : WP avec F(v, h) &gt; 2 sur au moins une variable — signaux d'ambiguïté documentaire exceptionnelle</w:t>
      </w:r>
    </w:p>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Synthèse — Ce que MEPA V6.2 revendique et ne revendique pas</w:t>
      </w:r>
    </w:p>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 REVENDIQUÉ</w:t>
            </w:r>
          </w:p>
        </w:tc>
        <w:tc>
          <w:tcPr>
            <w:tcW w:type="dxa" w:w="4513"/>
            <w:tcBorders>
              <w:top w:val="single" w:color="AABDD4" w:sz="1"/>
              <w:left w:val="single" w:color="AABDD4" w:sz="1"/>
              <w:bottom w:val="single" w:color="AABDD4" w:sz="1"/>
              <w:right w:val="single" w:color="AABDD4" w:sz="1"/>
            </w:tcBorders>
            <w:shd w:fill="FFD0D0" w:val="clear"/>
            <w:tcMar>
              <w:top w:type="dxa" w:w="80"/>
              <w:left w:type="dxa" w:w="120"/>
              <w:bottom w:type="dxa" w:w="80"/>
              <w:right w:type="dxa" w:w="120"/>
            </w:tcMar>
          </w:tcPr>
          <w:p>
            <w:r>
              <w:rPr>
                <w:rFonts w:ascii="Arial" w:cs="Arial" w:eastAsia="Arial" w:hAnsi="Arial"/>
                <w:b/>
                <w:bCs/>
                <w:color w:val="1B3A5C"/>
                <w:sz w:val="18"/>
                <w:szCs w:val="18"/>
              </w:rPr>
              <w:t xml:space="preserve">✗ NON REVENDIQUÉ</w:t>
            </w:r>
          </w:p>
        </w:tc>
      </w:tr>
      <w:tr>
        <w:tc>
          <w:tcPr>
            <w:tcW w:type="dxa" w:w="4513"/>
            <w:tcBorders>
              <w:top w:val="single" w:color="AABDD4" w:sz="1"/>
              <w:left w:val="single" w:color="AABDD4" w:sz="1"/>
              <w:bottom w:val="single" w:color="AABDD4" w:sz="1"/>
              <w:right w:val="single" w:color="AABDD4" w:sz="1"/>
            </w:tcBorders>
            <w:shd w:fill="F0FFF0" w:val="clear"/>
            <w:tcMar>
              <w:top w:type="dxa" w:w="100"/>
              <w:left w:type="dxa" w:w="140"/>
              <w:bottom w:type="dxa" w:w="100"/>
              <w:right w:type="dxa" w:w="100"/>
            </w:tcMar>
          </w:tcPr>
          <w:p>
            <w:pPr>
              <w:pStyle w:val="ListParagraph"/>
              <w:numPr>
                <w:ilvl w:val="0"/>
                <w:numId w:val="3"/>
              </w:numPr>
              <w:spacing w:before="30" w:after="30"/>
            </w:pPr>
            <w:r>
              <w:rPr>
                <w:rFonts w:ascii="Arial" w:cs="Arial" w:eastAsia="Arial" w:hAnsi="Arial"/>
                <w:color w:val="444444"/>
                <w:sz w:val="18"/>
                <w:szCs w:val="18"/>
              </w:rPr>
              <w:t xml:space="preserve">Reproductibilité conditionnelle du codage LLM sous protocole d'étanchéité</w:t>
            </w:r>
          </w:p>
          <w:p>
            <w:pPr>
              <w:pStyle w:val="ListParagraph"/>
              <w:numPr>
                <w:ilvl w:val="0"/>
                <w:numId w:val="3"/>
              </w:numPr>
              <w:spacing w:before="30" w:after="30"/>
            </w:pPr>
            <w:r>
              <w:rPr>
                <w:rFonts w:ascii="Arial" w:cs="Arial" w:eastAsia="Arial" w:hAnsi="Arial"/>
                <w:color w:val="444444"/>
                <w:sz w:val="18"/>
                <w:szCs w:val="18"/>
              </w:rPr>
              <w:t xml:space="preserve">Falsifiabilité conditionnelle du modèle pour des paramètres exogènes documentés</w:t>
            </w:r>
          </w:p>
          <w:p>
            <w:pPr>
              <w:pStyle w:val="ListParagraph"/>
              <w:numPr>
                <w:ilvl w:val="0"/>
                <w:numId w:val="3"/>
              </w:numPr>
              <w:spacing w:before="30" w:after="30"/>
            </w:pPr>
            <w:r>
              <w:rPr>
                <w:rFonts w:ascii="Arial" w:cs="Arial" w:eastAsia="Arial" w:hAnsi="Arial"/>
                <w:color w:val="444444"/>
                <w:sz w:val="18"/>
                <w:szCs w:val="18"/>
              </w:rPr>
              <w:t xml:space="preserve">Traçabilité complète de la chaîne sources → simulation → passeport</w:t>
            </w:r>
          </w:p>
          <w:p>
            <w:pPr>
              <w:pStyle w:val="ListParagraph"/>
              <w:numPr>
                <w:ilvl w:val="0"/>
                <w:numId w:val="3"/>
              </w:numPr>
              <w:spacing w:before="30" w:after="30"/>
            </w:pPr>
            <w:r>
              <w:rPr>
                <w:rFonts w:ascii="Arial" w:cs="Arial" w:eastAsia="Arial" w:hAnsi="Arial"/>
                <w:color w:val="444444"/>
                <w:sz w:val="18"/>
                <w:szCs w:val="18"/>
              </w:rPr>
              <w:t xml:space="preserve">Intégrité documentaire par le silence méthodologique (variable NC)</w:t>
            </w:r>
          </w:p>
        </w:tc>
        <w:tc>
          <w:tcPr>
            <w:tcW w:type="dxa" w:w="4513"/>
            <w:tcBorders>
              <w:top w:val="single" w:color="AABDD4" w:sz="1"/>
              <w:left w:val="single" w:color="AABDD4" w:sz="1"/>
              <w:bottom w:val="single" w:color="AABDD4" w:sz="1"/>
              <w:right w:val="single" w:color="AABDD4" w:sz="1"/>
            </w:tcBorders>
            <w:shd w:fill="FFF5F5" w:val="clear"/>
            <w:tcMar>
              <w:top w:type="dxa" w:w="100"/>
              <w:left w:type="dxa" w:w="140"/>
              <w:bottom w:type="dxa" w:w="100"/>
              <w:right w:type="dxa" w:w="100"/>
            </w:tcMar>
          </w:tcPr>
          <w:p>
            <w:pPr>
              <w:pStyle w:val="ListParagraph"/>
              <w:numPr>
                <w:ilvl w:val="0"/>
                <w:numId w:val="4"/>
              </w:numPr>
              <w:spacing w:before="30" w:after="30"/>
            </w:pPr>
            <w:r>
              <w:rPr>
                <w:rFonts w:ascii="Arial" w:cs="Arial" w:eastAsia="Arial" w:hAnsi="Arial"/>
                <w:color w:val="444444"/>
                <w:sz w:val="18"/>
                <w:szCs w:val="18"/>
              </w:rPr>
              <w:t xml:space="preserve">Indépendance absolue des codeurs LLM (limite assumée)</w:t>
            </w:r>
          </w:p>
          <w:p>
            <w:pPr>
              <w:pStyle w:val="ListParagraph"/>
              <w:numPr>
                <w:ilvl w:val="0"/>
                <w:numId w:val="4"/>
              </w:numPr>
              <w:spacing w:before="30" w:after="30"/>
            </w:pPr>
            <w:r>
              <w:rPr>
                <w:rFonts w:ascii="Arial" w:cs="Arial" w:eastAsia="Arial" w:hAnsi="Arial"/>
                <w:color w:val="444444"/>
                <w:sz w:val="18"/>
                <w:szCs w:val="18"/>
              </w:rPr>
              <w:t xml:space="preserve">Identifiabilité stricte au sens Type A (non applicable au Type B)</w:t>
            </w:r>
          </w:p>
          <w:p>
            <w:pPr>
              <w:pStyle w:val="ListParagraph"/>
              <w:numPr>
                <w:ilvl w:val="0"/>
                <w:numId w:val="4"/>
              </w:numPr>
              <w:spacing w:before="30" w:after="30"/>
            </w:pPr>
            <w:r>
              <w:rPr>
                <w:rFonts w:ascii="Arial" w:cs="Arial" w:eastAsia="Arial" w:hAnsi="Arial"/>
                <w:color w:val="444444"/>
                <w:sz w:val="18"/>
                <w:szCs w:val="18"/>
              </w:rPr>
              <w:t xml:space="preserve">Comparabilité directe avec un groupe contrôle humain sans protocole équivalent</w:t>
            </w:r>
          </w:p>
          <w:p>
            <w:pPr>
              <w:pStyle w:val="ListParagraph"/>
              <w:numPr>
                <w:ilvl w:val="0"/>
                <w:numId w:val="4"/>
              </w:numPr>
              <w:spacing w:before="30" w:after="30"/>
            </w:pPr>
            <w:r>
              <w:rPr>
                <w:rFonts w:ascii="Arial" w:cs="Arial" w:eastAsia="Arial" w:hAnsi="Arial"/>
                <w:color w:val="444444"/>
                <w:sz w:val="18"/>
                <w:szCs w:val="18"/>
              </w:rPr>
              <w:t xml:space="preserve">Statut de modèle explicatif validé au sens fort des sciences expérimentales</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Cette délimitation précise — revendiquer ce qui est démontrable, refuser ce qui ne l'est pas — est le fondement épistémologique de la crédibilité académique de MEPA V6.2.</w:t>
      </w:r>
    </w:p>
    <w:p>
      <w:pPr>
        <w:spacing w:before="0" w:after="0"/>
        <w:jc w:val="left"/>
      </w:pPr>
      <w:r>
        <w:rPr>
          <w:rFonts w:ascii="Arial" w:cs="Arial" w:eastAsia="Arial" w:hAnsi="Arial"/>
          <w:color w:val="444444"/>
          <w:sz w:val="20"/>
          <w:szCs w:val="20"/>
        </w:rPr>
        <w:t xml:space="preserve"/>
      </w:r>
    </w:p>
    <w:p>
      <w:pPr>
        <w:pStyle w:val="Heading1"/>
        <w:spacing w:before="280" w:after="100"/>
      </w:pPr>
      <w:r>
        <w:rPr>
          <w:rFonts w:ascii="Arial" w:cs="Arial" w:eastAsia="Arial" w:hAnsi="Arial"/>
          <w:b/>
          <w:bCs/>
          <w:color w:val="1B3A5C"/>
          <w:sz w:val="36"/>
          <w:szCs w:val="36"/>
        </w:rPr>
        <w:t xml:space="preserve">Fichiers techniques référencés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Fichier</w:t>
            </w:r>
          </w:p>
        </w:tc>
        <w:tc>
          <w:tcPr>
            <w:tcW w:type="dxa" w:w="28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Pilier</w:t>
            </w:r>
          </w:p>
        </w:tc>
        <w:tc>
          <w:tcPr>
            <w:tcW w:type="dxa" w:w="36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Rôle</w:t>
            </w:r>
          </w:p>
        </w:tc>
      </w:tr>
      <w:tr>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mepa_kappa_calculator.py (V6.2)</w:t>
            </w:r>
          </w:p>
        </w:tc>
        <w:tc>
          <w:tcPr>
            <w:tcW w:type="dxa" w:w="2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P1</w:t>
            </w:r>
          </w:p>
        </w:tc>
        <w:tc>
          <w:tcPr>
            <w:tcW w:type="dxa" w:w="3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CCI two-way mixed — remplace κ de Cohen</w:t>
            </w:r>
          </w:p>
        </w:tc>
      </w:tr>
      <w:tr>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7"/>
                <w:szCs w:val="17"/>
              </w:rPr>
              <w:t xml:space="preserve">mepa_passeport_schema.py</w:t>
            </w:r>
          </w:p>
        </w:tc>
        <w:tc>
          <w:tcPr>
            <w:tcW w:type="dxa" w:w="2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P1 + P5</w:t>
            </w:r>
          </w:p>
        </w:tc>
        <w:tc>
          <w:tcPr>
            <w:tcW w:type="dxa" w:w="3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Schéma passeport + champ CCI + champ friction</w:t>
            </w:r>
          </w:p>
        </w:tc>
      </w:tr>
      <w:tr>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mepa_whitelist_keys.json</w:t>
            </w:r>
          </w:p>
        </w:tc>
        <w:tc>
          <w:tcPr>
            <w:tcW w:type="dxa" w:w="2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P2</w:t>
            </w:r>
          </w:p>
        </w:tc>
        <w:tc>
          <w:tcPr>
            <w:tcW w:type="dxa" w:w="3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Liste blanche des variables valides — bloque NC silencieux</w:t>
            </w:r>
          </w:p>
        </w:tc>
      </w:tr>
      <w:tr>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7"/>
                <w:szCs w:val="17"/>
              </w:rPr>
              <w:t xml:space="preserve">mepa_node2_audit_v62.js</w:t>
            </w:r>
          </w:p>
        </w:tc>
        <w:tc>
          <w:tcPr>
            <w:tcW w:type="dxa" w:w="2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P2</w:t>
            </w:r>
          </w:p>
        </w:tc>
        <w:tc>
          <w:tcPr>
            <w:tcW w:type="dxa" w:w="3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Détection NC · statut DONNÉES_INSUFFISANTES · escalade</w:t>
            </w:r>
          </w:p>
        </w:tc>
      </w:tr>
      <w:tr>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mepa_constants.json</w:t>
            </w:r>
          </w:p>
        </w:tc>
        <w:tc>
          <w:tcPr>
            <w:tcW w:type="dxa" w:w="2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P3</w:t>
            </w:r>
          </w:p>
        </w:tc>
        <w:tc>
          <w:tcPr>
            <w:tcW w:type="dxa" w:w="3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Bornes admissibles des 14 paramètres · vérification runner</w:t>
            </w:r>
          </w:p>
        </w:tc>
      </w:tr>
      <w:tr>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7"/>
                <w:szCs w:val="17"/>
              </w:rPr>
              <w:t xml:space="preserve">mepa_runner_v2_gamma.py</w:t>
            </w:r>
          </w:p>
        </w:tc>
        <w:tc>
          <w:tcPr>
            <w:tcW w:type="dxa" w:w="2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P3</w:t>
            </w:r>
          </w:p>
        </w:tc>
        <w:tc>
          <w:tcPr>
            <w:tcW w:type="dxa" w:w="3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Vérification bornes corpus à chaque simulation</w:t>
            </w:r>
          </w:p>
        </w:tc>
      </w:tr>
      <w:tr>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mepa_friction_profile.json</w:t>
            </w:r>
          </w:p>
        </w:tc>
        <w:tc>
          <w:tcPr>
            <w:tcW w:type="dxa" w:w="2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P5</w:t>
            </w:r>
          </w:p>
        </w:tc>
        <w:tc>
          <w:tcPr>
            <w:tcW w:type="dxa" w:w="3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Profil de friction cumulatif · agrégé par WP certifié</w:t>
            </w:r>
          </w:p>
        </w:tc>
      </w:tr>
      <w:tr>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7"/>
                <w:szCs w:val="17"/>
              </w:rPr>
              <w:t xml:space="preserve">Workflow n8n (double aveugle)</w:t>
            </w:r>
          </w:p>
        </w:tc>
        <w:tc>
          <w:tcPr>
            <w:tcW w:type="dxa" w:w="2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P4</w:t>
            </w:r>
          </w:p>
        </w:tc>
        <w:tc>
          <w:tcPr>
            <w:tcW w:type="dxa" w:w="3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Étanchéité CONV-E / CONV-B · auditabilité tiers</w:t>
            </w:r>
          </w:p>
        </w:tc>
      </w:tr>
    </w:tbl>
    <w:p>
      <w:pPr>
        <w:spacing w:before="0" w:after="0"/>
        <w:jc w:val="left"/>
      </w:pPr>
      <w:r>
        <w:rPr>
          <w:rFonts w:ascii="Arial" w:cs="Arial" w:eastAsia="Arial" w:hAnsi="Arial"/>
          <w:color w:val="444444"/>
          <w:sz w:val="20"/>
          <w:szCs w:val="20"/>
        </w:rPr>
        <w:t xml:space="preserve"/>
      </w:r>
    </w:p>
    <w:p>
      <w:pPr>
        <w:spacing w:before="200" w:after="0"/>
        <w:jc w:val="center"/>
      </w:pPr>
      <w:r>
        <w:rPr>
          <w:rFonts w:ascii="Arial" w:cs="Arial" w:eastAsia="Arial" w:hAnsi="Arial"/>
          <w:color w:val="AAAAAA"/>
          <w:sz w:val="18"/>
          <w:szCs w:val="18"/>
        </w:rPr>
        <w:t xml:space="preserve">— Fin de l'Addendum Théorique MEPA V6.2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AAAAAA"/>
        <w:sz w:val="17"/>
        <w:szCs w:val="17"/>
      </w:rPr>
      <w:t xml:space="preserve">MEPA V6.2 — Référence principale · Usage interne  ·  p.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right"/>
    </w:pPr>
    <w:r>
      <w:rPr>
        <w:rFonts w:ascii="Arial" w:cs="Arial" w:eastAsia="Arial" w:hAnsi="Arial"/>
        <w:color w:val="AAAAAA"/>
        <w:sz w:val="17"/>
        <w:szCs w:val="17"/>
      </w:rPr>
      <w:t xml:space="preserve">MEPA V6.2 — Addendum Théorique · Rigueur Procédurale et Inférence Dynamique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B3A5C"/>
      <w:sz w:val="36"/>
      <w:szCs w:val="36"/>
    </w:rPr>
  </w:style>
  <w:style w:type="paragraph" w:styleId="Heading2">
    <w:name w:val="Heading 2"/>
    <w:basedOn w:val="Normal"/>
    <w:next w:val="Normal"/>
    <w:qFormat/>
    <w:pPr>
      <w:spacing w:before="220" w:after="80"/>
      <w:outlineLvl w:val="1"/>
    </w:pPr>
    <w:rPr>
      <w:rFonts w:ascii="Arial" w:cs="Arial" w:eastAsia="Arial" w:hAnsi="Arial"/>
      <w:b/>
      <w:bCs/>
      <w:color w:val="2E6DA4"/>
      <w:sz w:val="28"/>
      <w:szCs w:val="28"/>
    </w:rPr>
  </w:style>
  <w:style w:type="paragraph" w:styleId="Heading3">
    <w:name w:val="Heading 3"/>
    <w:basedOn w:val="Normal"/>
    <w:next w:val="Normal"/>
    <w:qFormat/>
    <w:pPr>
      <w:spacing w:before="160" w:after="60"/>
      <w:outlineLvl w:val="2"/>
    </w:pPr>
    <w:rPr>
      <w:rFonts w:ascii="Arial" w:cs="Arial" w:eastAsia="Arial" w:hAnsi="Arial"/>
      <w:b/>
      <w:bCs/>
      <w:color w:val="2A7F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2026-03-13T22:19:49.106Z</dcterms:created>
  <dcterms:modified xsi:type="dcterms:W3CDTF">2026-03-13T22:19:49.107Z</dcterms:modified>
</cp:coreProperties>
</file>

<file path=docProps/custom.xml><?xml version="1.0" encoding="utf-8"?>
<Properties xmlns="http://schemas.openxmlformats.org/officeDocument/2006/custom-properties" xmlns:vt="http://schemas.openxmlformats.org/officeDocument/2006/docPropsVTypes"/>
</file>