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50"/>
        <w:jc w:val="center"/>
      </w:pPr>
      <w:r>
        <w:rPr>
          <w:rFonts w:ascii="Arial" w:cs="Arial" w:eastAsia="Arial" w:hAnsi="Arial"/>
          <w:b/>
          <w:bCs/>
          <w:color w:val="1B2A6B"/>
          <w:sz w:val="64"/>
          <w:szCs w:val="64"/>
        </w:rPr>
        <w:t xml:space="preserve">MEPA V6.2</w:t>
      </w:r>
    </w:p>
    <w:p>
      <w:pPr>
        <w:spacing w:before="0" w:after="30"/>
        <w:jc w:val="center"/>
      </w:pPr>
      <w:r>
        <w:rPr>
          <w:rFonts w:ascii="Arial" w:cs="Arial" w:eastAsia="Arial" w:hAnsi="Arial"/>
          <w:b/>
          <w:bCs/>
          <w:color w:val="0D7377"/>
          <w:sz w:val="34"/>
          <w:szCs w:val="34"/>
        </w:rPr>
        <w:t xml:space="preserve">Annexe Méthodologique</w:t>
      </w:r>
    </w:p>
    <w:p>
      <w:pPr>
        <w:spacing w:before="0" w:after="20"/>
        <w:jc w:val="center"/>
      </w:pPr>
      <w:r>
        <w:rPr>
          <w:rFonts w:ascii="Arial" w:cs="Arial" w:eastAsia="Arial" w:hAnsi="Arial"/>
          <w:b/>
          <w:bCs/>
          <w:color w:val="1B2A6B"/>
          <w:sz w:val="26"/>
          <w:szCs w:val="26"/>
        </w:rPr>
        <w:t xml:space="preserve">Protocole Expérimental — Version de Travail Finale</w:t>
      </w:r>
    </w:p>
    <w:p>
      <w:pPr>
        <w:spacing w:before="0" w:after="20"/>
        <w:jc w:val="center"/>
      </w:pPr>
      <w:r>
        <w:rPr>
          <w:rFonts w:ascii="Arial" w:cs="Arial" w:eastAsia="Arial" w:hAnsi="Arial"/>
          <w:i/>
          <w:iCs/>
          <w:color w:val="555555"/>
          <w:sz w:val="22"/>
          <w:szCs w:val="22"/>
        </w:rPr>
        <w:t xml:space="preserve">Standardisation · Reproductibilité · Falsifiabilité · Inter-codeurs</w:t>
      </w:r>
    </w:p>
    <w:p>
      <w:pPr>
        <w:spacing w:before="40" w:after="0"/>
      </w:pPr>
    </w:p>
    <w:p>
      <w:pPr>
        <w:pBdr>
          <w:bottom w:val="single" w:color="1B2A6B" w:sz="8" w:space="1"/>
        </w:pBdr>
        <w:spacing w:before="0" w:after="0"/>
        <w:jc w:val="center"/>
      </w:pPr>
      <w:r>
        <w:rPr>
          <w:sz w:val="22"/>
          <w:szCs w:val="22"/>
        </w:rPr>
        <w:t xml:space="preserve"/>
      </w:r>
    </w:p>
    <w:p>
      <w:pPr>
        <w:spacing w:before="60" w:after="0"/>
      </w:pPr>
    </w:p>
    <w:p>
      <w:pPr>
        <w:jc w:val="center"/>
      </w:pPr>
      <w:r>
        <w:rPr>
          <w:rFonts w:ascii="Arial" w:cs="Arial" w:eastAsia="Arial" w:hAnsi="Arial"/>
          <w:i/>
          <w:iCs/>
          <w:color w:val="555555"/>
          <w:sz w:val="20"/>
          <w:szCs w:val="20"/>
        </w:rPr>
        <w:t xml:space="preserve">Mars 2026  ·  Compatible MEPA Full V6.2 et MEPA Lite V6.2 (Module de simulation)</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0D7377"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E8F5F5" w:val="clear"/>
            <w:tcMar>
              <w:top w:type="dxa" w:w="110"/>
              <w:left w:type="dxa" w:w="160"/>
              <w:bottom w:type="dxa" w:w="110"/>
              <w:right w:type="dxa" w:w="160"/>
            </w:tcMar>
          </w:tcPr>
          <w:p>
            <w:pPr>
              <w:spacing w:before="0" w:after="40"/>
            </w:pPr>
            <w:r>
              <w:rPr>
                <w:rFonts w:ascii="Arial" w:cs="Arial" w:eastAsia="Arial" w:hAnsi="Arial"/>
                <w:b/>
                <w:bCs/>
                <w:color w:val="0D7377"/>
                <w:sz w:val="21"/>
                <w:szCs w:val="21"/>
              </w:rPr>
              <w:t xml:space="preserve">Objet du protocole</w:t>
            </w:r>
          </w:p>
          <w:p>
            <w:pPr>
              <w:spacing w:before="0" w:after="0"/>
              <w:jc w:val="both"/>
            </w:pPr>
            <w:r>
              <w:rPr>
                <w:rFonts w:ascii="Arial" w:cs="Arial" w:eastAsia="Arial" w:hAnsi="Arial"/>
                <w:sz w:val="20"/>
                <w:szCs w:val="20"/>
              </w:rPr>
              <w:t xml:space="preserve">Ce protocole définit les règles opérationnelles permettant à deux codeurs indépendants de produire des Working Papers (WP) comparables sur le même cas historique. Il verrouille : (1) la nomenclature des variables, (2) les ancres de scoring pour 9 variables critiques, (3) le protocole inter-codeurs avec mesure du CCI inter-codeurs, (4) le stress-test de robustesse à 3 niveaux, (5) les critères de réfutation avec horizons temporels précis, (6) la hiérarchie des sources. Sans ce protocole, aucun résultat de WP ne peut être comparé à un autre ni agrégé pour la calibration bayésienne de MEPA Lite.</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0. Nomenclature officielle — Table de correspondance</w:t>
      </w:r>
    </w:p>
    <w:p>
      <w:pPr>
        <w:spacing w:before="60" w:after="60"/>
        <w:jc w:val="both"/>
      </w:pPr>
      <w:r>
        <w:rPr>
          <w:rFonts w:ascii="Arial" w:cs="Arial" w:eastAsia="Arial" w:hAnsi="Arial"/>
          <w:sz w:val="22"/>
          <w:szCs w:val="22"/>
        </w:rPr>
        <w:t xml:space="preserve">Toute variable doit être désignée par son symbole MEPA Full V6.0 dans les WP. Les notations alternatives (N3, Ad, Hind, etc.) issues de versions antérieures ou de documents de travail sont abandonnées. La table ci-dessous est la référence unique.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600"/>
        <w:gridCol w:w="1760"/>
      </w:tblGrid>
      <w:tr>
        <w:tc>
          <w:tcPr>
            <w:tcW w:type="dxa" w:w="14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Symbole V6.0</w:t>
            </w:r>
          </w:p>
        </w:tc>
        <w:tc>
          <w:tcPr>
            <w:tcW w:type="dxa" w:w="24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Terme naturel (Version A)</w:t>
            </w:r>
          </w:p>
        </w:tc>
        <w:tc>
          <w:tcPr>
            <w:tcW w:type="dxa" w:w="22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Terme naturel (Version B)</w:t>
            </w:r>
          </w:p>
        </w:tc>
        <w:tc>
          <w:tcPr>
            <w:tcW w:type="dxa" w:w="1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Ancienne notation</w:t>
            </w:r>
          </w:p>
        </w:tc>
        <w:tc>
          <w:tcPr>
            <w:tcW w:type="dxa" w:w="17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Échelle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E_split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Fracture de l'élite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fracture de l'élite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Capacité organisationnelle de l'élite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capacité org. de l'élite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Capacité redistributive effective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redistribution effective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Plafond redistributif (EROI)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plafond redistributif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Ad_max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H_ind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Chaleur individuelle latente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frustration latente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Hind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H_col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Chaleur collective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pression collective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Hcol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Répression numérique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répression numérique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Répression classique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répression classique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Crédibilité du régime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crédibilité du régime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Loyauté des appareils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loyauté des appareils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Complexité institutionnelle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complexité institutionnelle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calculée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Structure anthropologique de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structure familiale (Todd)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Q2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fixe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Rendement énergétique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rendement énergétique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valeur réelle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Force transformatrice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force transformatrice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calculée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Résistance du système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résistance du système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calculée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8B0000"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FDECEA" w:val="clear"/>
            <w:tcMar>
              <w:top w:type="dxa" w:w="110"/>
              <w:left w:type="dxa" w:w="160"/>
              <w:bottom w:type="dxa" w:w="110"/>
              <w:right w:type="dxa" w:w="160"/>
            </w:tcMar>
          </w:tcPr>
          <w:p>
            <w:pPr>
              <w:spacing w:before="0" w:after="40"/>
            </w:pPr>
            <w:r>
              <w:rPr>
                <w:rFonts w:ascii="Arial" w:cs="Arial" w:eastAsia="Arial" w:hAnsi="Arial"/>
                <w:b/>
                <w:bCs/>
                <w:color w:val="8B0000"/>
                <w:sz w:val="21"/>
                <w:szCs w:val="21"/>
              </w:rPr>
              <w:t xml:space="preserve">Règle absolue</w:t>
            </w:r>
          </w:p>
          <w:p>
            <w:pPr>
              <w:spacing w:before="0" w:after="0"/>
              <w:jc w:val="both"/>
            </w:pPr>
            <w:r>
              <w:rPr>
                <w:rFonts w:ascii="Arial" w:cs="Arial" w:eastAsia="Arial" w:hAnsi="Arial"/>
                <w:sz w:val="20"/>
                <w:szCs w:val="20"/>
              </w:rPr>
              <w:t xml:space="preserve">Toute utilisation d'une notation non listée dans cette table dans un WP entraîne le rejet du WP pour recalibration. Le codeur doit utiliser exclusivement les symboles de la colonne 'Symbole V6.0' dans les fiches de codage et les symboles ou termes naturels de la Version A ou B dans le texte du WP selon la version cible.</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1. Grille d'ancrage complète — 9 variables critiques</w:t>
      </w:r>
    </w:p>
    <w:p>
      <w:pPr>
        <w:spacing w:before="60" w:after="60"/>
        <w:jc w:val="both"/>
      </w:pPr>
      <w:r>
        <w:rPr>
          <w:rFonts w:ascii="Arial" w:cs="Arial" w:eastAsia="Arial" w:hAnsi="Arial"/>
          <w:sz w:val="22"/>
          <w:szCs w:val="22"/>
        </w:rPr>
        <w:t xml:space="preserve">Pour atteindre un CCI ≥ 0.70 par variable (CCI global ≥ 0.75), chaque variable critique doit être ancrée par des indicateurs observables précis. Les ancres suivantes sont définies par famille de variables. Pour les variables sur [0,1], les scores sont traduits en niveaux (Bas / Moyen / Élevé). Pour les variables sur [0,10], les ancres couvrent les intervalles 0–2, 4–6 et 8–10.</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6B" w:val="clear"/>
            <w:tcMar>
              <w:top w:type="dxa" w:w="130"/>
              <w:left w:type="dxa" w:w="200"/>
              <w:bottom w:type="dxa" w:w="130"/>
              <w:right w:type="dxa" w:w="200"/>
            </w:tcMar>
          </w:tcPr>
          <w:p>
            <w:r>
              <w:rPr>
                <w:rFonts w:ascii="Arial" w:cs="Arial" w:eastAsia="Arial" w:hAnsi="Arial"/>
                <w:b/>
                <w:bCs/>
                <w:color w:val="FFFFFF"/>
                <w:sz w:val="21"/>
                <w:szCs w:val="21"/>
              </w:rPr>
              <w:t xml:space="preserve">1.1  A_d_eff — Capacité redistributive effective  [0,10]</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0–2  Effondrement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Faillite technique de l'État · inflation &gt; 30%/an · rupture des services de base (famine, délestage) · dette souveraine &gt; 150% PIB sans accès aux marchés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Zimbabwe 2008 · Liban 2022 · Venezuela 2018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4–6  Trappe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Croissance réelle &lt; coût de maintenance de Ω · érosion du pouvoir d'achat réel &gt; 10%/an · dette structurelle croissante mais services maintenus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2010–2015 · Argentine 2001 · URSS 1985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8–10  Surplus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 net élevé (&gt; 10) permettant un surplus redistribuable sans endettement structurel · croissance réelle &gt; 3%/an · services publics en expansion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Golfe pétrolier 1970–1985 · Chine 2000–2010 · Norvège</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30"/>
              <w:left w:type="dxa" w:w="200"/>
              <w:bottom w:type="dxa" w:w="130"/>
              <w:right w:type="dxa" w:w="200"/>
            </w:tcMar>
          </w:tcPr>
          <w:p>
            <w:r>
              <w:rPr>
                <w:rFonts w:ascii="Arial" w:cs="Arial" w:eastAsia="Arial" w:hAnsi="Arial"/>
                <w:b/>
                <w:bCs/>
                <w:color w:val="FFFFFF"/>
                <w:sz w:val="21"/>
                <w:szCs w:val="21"/>
              </w:rPr>
              <w:t xml:space="preserve">1.2  E_split — Fracture de l'élite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Cohésion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Ascenseur social fonctionnel · &lt; 5% diplômés supérieurs sans emploi qualifié · élites intégrées dans le régime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Singapour 2000 · Allemagne 2000 · Corée du Sud 1990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Fracture naissante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10–20% diplômés supérieurs sans débouché · frustration visible dans les professions libérales et la haute fonction publique · discours alternatifs organisés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2015–2024 · Égypte 2008–2010 · Turquie 2010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Fracture critique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&gt; 20% pop. active à haut capital culturel/faible capital économique · organisation formelle · doctrine articulée · réseaux transnationaux · précédents Turchin documentés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Russie 1917 · France 1789 · Iran 1979</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5200" w:val="clear"/>
            <w:tcMar>
              <w:top w:type="dxa" w:w="130"/>
              <w:left w:type="dxa" w:w="200"/>
              <w:bottom w:type="dxa" w:w="130"/>
              <w:right w:type="dxa" w:w="200"/>
            </w:tcMar>
          </w:tcPr>
          <w:p>
            <w:r>
              <w:rPr>
                <w:rFonts w:ascii="Arial" w:cs="Arial" w:eastAsia="Arial" w:hAnsi="Arial"/>
                <w:b/>
                <w:bCs/>
                <w:color w:val="FFFFFF"/>
                <w:sz w:val="21"/>
                <w:szCs w:val="21"/>
              </w:rPr>
              <w:t xml:space="preserve">1.3  γ — Capacité organisationnelle de l'élite marginalisée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Désorganisation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Fragmentation doctrinale · leaders rivaux sans coordination · absence de réseau organisationnel · pas de programme alternatif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Jacqueries médiévales · Printemps arabes sans organisation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Organisation partielle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Doctrine partiellement unifiée · réseaux locaux · programme alternatif esquissé · 1–2 organisations pivots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Commune de Paris 1871 · Égypte 2011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Organisation forte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Doctrine unifiée et diffusée · réseau national centralisé · programme gouvernemental prêt · expérience clandestine ou en exil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Bolchéviks 1917 · ANC 1990 · Meiji 1868</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6B" w:val="clear"/>
            <w:tcMar>
              <w:top w:type="dxa" w:w="130"/>
              <w:left w:type="dxa" w:w="200"/>
              <w:bottom w:type="dxa" w:w="130"/>
              <w:right w:type="dxa" w:w="200"/>
            </w:tcMar>
          </w:tcPr>
          <w:p>
            <w:r>
              <w:rPr>
                <w:rFonts w:ascii="Arial" w:cs="Arial" w:eastAsia="Arial" w:hAnsi="Arial"/>
                <w:b/>
                <w:bCs/>
                <w:color w:val="FFFFFF"/>
                <w:sz w:val="21"/>
                <w:szCs w:val="21"/>
              </w:rPr>
              <w:t xml:space="preserve">1.4  A_r_ne — Répression numérique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Absente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Internet libre · aucune surveillance systématique · opposants librement actifs en ligne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Islande · Norvège · France pré-2015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Partielle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Filtrage de contenus ciblés · arrestations de blogueurs documentées · surveillance des réseaux d'opposants connus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Russie 2012–2016 · Turquie 2013–2016 · Iran 2009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Totale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Reconnaissance faciale déployée · scores sociaux · délation systématique · coupure internet lors des crises · anticipation des mobilisations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Chine Xi 2017+ · Iran 2022 · Biélorussie 2020</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0000" w:val="clear"/>
            <w:tcMar>
              <w:top w:type="dxa" w:w="130"/>
              <w:left w:type="dxa" w:w="200"/>
              <w:bottom w:type="dxa" w:w="130"/>
              <w:right w:type="dxa" w:w="200"/>
            </w:tcMar>
          </w:tcPr>
          <w:p>
            <w:r>
              <w:rPr>
                <w:rFonts w:ascii="Arial" w:cs="Arial" w:eastAsia="Arial" w:hAnsi="Arial"/>
                <w:b/>
                <w:bCs/>
                <w:color w:val="FFFFFF"/>
                <w:sz w:val="21"/>
                <w:szCs w:val="21"/>
              </w:rPr>
              <w:t xml:space="preserve">1.5  Cs — Crédibilité du régime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Effondrée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Approbation &lt; 20% (sondages indépendants) · scandales majeurs non résolus · médias officiels ouvertement discrédités · défections dans l'appareil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Roumanie déc. 1989 · URSS août 1991 · France 1788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Contestée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Approbation 30–50% · contestation visible mais contenue · légitimité de performance remise en question · presse indépendante 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2018–2024 · Brésil 2015–2018 · Égypte 2010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Solide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Approbation &gt; 70% · légitimité de performance documentée · narratif officiel dominant · opposition marginalisée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Singapour 1990–2010 · Chine 2008–2012 · Russie 2014</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30"/>
              <w:left w:type="dxa" w:w="200"/>
              <w:bottom w:type="dxa" w:w="130"/>
              <w:right w:type="dxa" w:w="200"/>
            </w:tcMar>
          </w:tcPr>
          <w:p>
            <w:r>
              <w:rPr>
                <w:rFonts w:ascii="Arial" w:cs="Arial" w:eastAsia="Arial" w:hAnsi="Arial"/>
                <w:b/>
                <w:bCs/>
                <w:color w:val="FFFFFF"/>
                <w:sz w:val="21"/>
                <w:szCs w:val="21"/>
              </w:rPr>
              <w:t xml:space="preserve">1.6  L(t) — Loyauté des appareils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Effondrée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Défections massives documentées · refus d'ordre de tirer · mutineries · retournement d'unités militaires · soldes impayées &gt; 3 mois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Russie fév. 1917 · Roumanie déc. 1989 · Libye 2011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Conditionnelle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Loyauté conditionnelle au paiement · hésitations documentées · factions internes · unités d'élite loyales, conscription incertaine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URSS 1990–1991 · Venezuela 2019 · Biélorussie 2020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Solide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Corps de sécurité idéologiquement intégré · soldes payées · pas de défection documentée · culture de corps forte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Corée du Nord · Iran CGRI · Chine APL</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B3FA0" w:val="clear"/>
            <w:tcMar>
              <w:top w:type="dxa" w:w="130"/>
              <w:left w:type="dxa" w:w="200"/>
              <w:bottom w:type="dxa" w:w="130"/>
              <w:right w:type="dxa" w:w="200"/>
            </w:tcMar>
          </w:tcPr>
          <w:p>
            <w:r>
              <w:rPr>
                <w:rFonts w:ascii="Arial" w:cs="Arial" w:eastAsia="Arial" w:hAnsi="Arial"/>
                <w:b/>
                <w:bCs/>
                <w:color w:val="FFFFFF"/>
                <w:sz w:val="21"/>
                <w:szCs w:val="21"/>
              </w:rPr>
              <w:t xml:space="preserve">1.7  Sa — Structure anthropologique de base  [score fixe par région]</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Valeur Sa</w:t>
            </w:r>
          </w:p>
        </w:tc>
        <w:tc>
          <w:tcPr>
            <w:tcW w:type="dxa" w:w="25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Type Todd</w:t>
            </w:r>
          </w:p>
        </w:tc>
        <w:tc>
          <w:tcPr>
            <w:tcW w:type="dxa" w:w="3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Zones géographiques</w:t>
            </w:r>
          </w:p>
        </w:tc>
        <w:tc>
          <w:tcPr>
            <w:tcW w:type="dxa" w:w="1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 Q1_viscosité (proxy)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Nucléaire absolu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Famille nucléaire absolue (primogéniture)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Angleterre, USA, Australie, Islande, Scandinavie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 — propagation fluide, tolérance inégalité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Nucléaire égalitaire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Famille nucléaire égalitaire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Espagne, Italie, Portugal, Amérique latine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4 — instabilité chronique, rébellion fréquente. p6 nominal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Souche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Famille souche (cohabitation inter-générations)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Allemagne, Japon, Corée, Autriche, Suisse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7 — inertie haute, autorité acceptée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Communautaire exogame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Grande famille patrilinéaire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Russie, Chine Han, Inde du Nord, Europe de l'Est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6 — solidarité forte, État fort accepté</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30"/>
              <w:left w:type="dxa" w:w="200"/>
              <w:bottom w:type="dxa" w:w="130"/>
              <w:right w:type="dxa" w:w="200"/>
            </w:tcMar>
          </w:tcPr>
          <w:p>
            <w:r>
              <w:rPr>
                <w:rFonts w:ascii="Arial" w:cs="Arial" w:eastAsia="Arial" w:hAnsi="Arial"/>
                <w:b/>
                <w:bCs/>
                <w:color w:val="FFFFFF"/>
                <w:sz w:val="21"/>
                <w:szCs w:val="21"/>
              </w:rPr>
              <w:t xml:space="preserve">1.8  EROI — Rendement énergétique  [valeur réelle]</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Valeur</w:t>
            </w:r>
          </w:p>
        </w:tc>
        <w:tc>
          <w:tcPr>
            <w:tcW w:type="dxa" w:w="2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Régime</w:t>
            </w:r>
          </w:p>
        </w:tc>
        <w:tc>
          <w:tcPr>
            <w:tcW w:type="dxa" w:w="53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Implications pour A_d_max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d'effondrement (agricole/subsistance)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 → 0 · Trajectoire (d) probable · L(t) en chute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3–5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critique (fossile en déclin)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 très contraint · réforme impossible sans choc externe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5–10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Économie industrielle standard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 modéré · redistribution possible mais tendue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10–20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Économie industrielle performante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 élevé · marge de manœuvre redistributive significative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&gt; 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Rentier ou renouvelable premium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A_d_max très élevé · tampon contre H_ind · trajectoire (h) favorisée</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55555" w:val="clear"/>
            <w:tcMar>
              <w:top w:type="dxa" w:w="130"/>
              <w:left w:type="dxa" w:w="200"/>
              <w:bottom w:type="dxa" w:w="130"/>
              <w:right w:type="dxa" w:w="200"/>
            </w:tcMar>
          </w:tcPr>
          <w:p>
            <w:r>
              <w:rPr>
                <w:rFonts w:ascii="Arial" w:cs="Arial" w:eastAsia="Arial" w:hAnsi="Arial"/>
                <w:b/>
                <w:bCs/>
                <w:color w:val="FFFFFF"/>
                <w:sz w:val="21"/>
                <w:szCs w:val="21"/>
              </w:rPr>
              <w:t xml:space="preserve">1.9  A_r_c — Répression classique  [0,1]</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c>
          <w:tcPr>
            <w:tcW w:type="dxa" w:w="9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w:t>
            </w:r>
          </w:p>
        </w:tc>
        <w:tc>
          <w:tcPr>
            <w:tcW w:type="dxa" w:w="48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Indicateurs observables</w:t>
            </w:r>
          </w:p>
        </w:tc>
        <w:tc>
          <w:tcPr>
            <w:tcW w:type="dxa" w:w="3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 historiques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0.0–0.2  Absente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Liberté de manifestation · pas d'arrestations politiques · police désarmée en manifestation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Islande 2008 · Suède · Danemark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0.4–0.6  Sélective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Arrestations ciblées de leaders · dispersion des manifestations · maintien de l'ordre proportionnel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 Russie 2012 · Égypte 2010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0.8–1.0  Massive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Tirs sur foule documentés · état d'urgence · emprisonnements de masse · disparitions · torture systématique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Chili 1973 · Syrie 2011 · Chine 1989</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2. Protocole inter-codeurs — Mesure du CCI (Coefficient de Corrélation Intraclasse)</w:t>
      </w:r>
    </w:p>
    <w:p>
      <w:pPr>
        <w:spacing w:before="60" w:after="60"/>
        <w:jc w:val="both"/>
      </w:pPr>
      <w:r>
        <w:rPr>
          <w:rFonts w:ascii="Arial" w:cs="Arial" w:eastAsia="Arial" w:hAnsi="Arial"/>
          <w:sz w:val="22"/>
          <w:szCs w:val="22"/>
        </w:rPr>
        <w:t xml:space="preserve">La reproductibilité d'un WP est validée par un accord inter-codeurs mesurable. Deux codeurs indépendants produisent leurs scores séparément. L'accord est calculé puis validé avant publication du WP.</w:t>
      </w:r>
    </w:p>
    <w:p>
      <w:pPr>
        <w:spacing w:before="30" w:after="0"/>
      </w:pPr>
    </w:p>
    <w:p>
      <w:pPr>
        <w:pStyle w:val="Heading2"/>
        <w:spacing w:before="280" w:after="80"/>
      </w:pPr>
      <w:r>
        <w:rPr>
          <w:rFonts w:ascii="Arial" w:cs="Arial" w:eastAsia="Arial" w:hAnsi="Arial"/>
          <w:b/>
          <w:bCs/>
          <w:color w:val="1B2A6B"/>
          <w:sz w:val="27"/>
          <w:szCs w:val="27"/>
        </w:rPr>
        <w:t xml:space="preserve">2.1 Procédure</w:t>
      </w:r>
    </w:p>
    <w:p>
      <w:pPr>
        <w:pStyle w:val="ListParagraph"/>
        <w:numPr>
          <w:ilvl w:val="0"/>
          <w:numId w:val="2"/>
        </w:numPr>
        <w:spacing w:before="40" w:after="40"/>
      </w:pPr>
      <w:r>
        <w:rPr>
          <w:rFonts w:ascii="Arial" w:cs="Arial" w:eastAsia="Arial" w:hAnsi="Arial"/>
          <w:sz w:val="21"/>
          <w:szCs w:val="21"/>
        </w:rPr>
        <w:t xml:space="preserve">Chaque WP est codé indépendamment par deux codeurs (Codeur A et Codeur B) sans communication entre eux.</w:t>
      </w:r>
    </w:p>
    <w:p>
      <w:pPr>
        <w:pStyle w:val="ListParagraph"/>
        <w:numPr>
          <w:ilvl w:val="0"/>
          <w:numId w:val="2"/>
        </w:numPr>
        <w:spacing w:before="40" w:after="40"/>
      </w:pPr>
      <w:r>
        <w:rPr>
          <w:rFonts w:ascii="Arial" w:cs="Arial" w:eastAsia="Arial" w:hAnsi="Arial"/>
          <w:sz w:val="21"/>
          <w:szCs w:val="21"/>
        </w:rPr>
        <w:t xml:space="preserve">Les deux codeurs utilisent exclusivement la grille d'ancrage de la Section 1 et les sources de la Section 5.</w:t>
      </w:r>
    </w:p>
    <w:p>
      <w:pPr>
        <w:pStyle w:val="ListParagraph"/>
        <w:numPr>
          <w:ilvl w:val="0"/>
          <w:numId w:val="2"/>
        </w:numPr>
        <w:spacing w:before="40" w:after="40"/>
      </w:pPr>
      <w:r>
        <w:rPr>
          <w:rFonts w:ascii="Arial" w:cs="Arial" w:eastAsia="Arial" w:hAnsi="Arial"/>
          <w:sz w:val="21"/>
          <w:szCs w:val="21"/>
        </w:rPr>
        <w:t xml:space="preserve">Après codage indépendant, les scores sont consignés dans la fiche de codage standardisée (Section 6).</w:t>
      </w:r>
    </w:p>
    <w:p>
      <w:pPr>
        <w:pStyle w:val="ListParagraph"/>
        <w:numPr>
          <w:ilvl w:val="0"/>
          <w:numId w:val="2"/>
        </w:numPr>
        <w:spacing w:before="40" w:after="40"/>
      </w:pPr>
      <w:r>
        <w:rPr>
          <w:rFonts w:ascii="Arial" w:cs="Arial" w:eastAsia="Arial" w:hAnsi="Arial"/>
          <w:sz w:val="21"/>
          <w:szCs w:val="21"/>
        </w:rPr>
        <w:t xml:space="preserve">L'accord est calculé sur les 9 variables critiques. Pour les variables continues [0,1] ou [0,10], un accord est déclaré si l'écart absolu est ≤ 1.5 point (sur 10) ou ≤ 0.15 (sur 1). Pour les variables catégorielles (Sa, trajectoire), l'accord doit être exact.</w:t>
      </w:r>
    </w:p>
    <w:p>
      <w:pPr>
        <w:pStyle w:val="ListParagraph"/>
        <w:numPr>
          <w:ilvl w:val="0"/>
          <w:numId w:val="2"/>
        </w:numPr>
        <w:spacing w:before="40" w:after="40"/>
      </w:pPr>
      <w:r>
        <w:rPr>
          <w:rFonts w:ascii="Arial" w:cs="Arial" w:eastAsia="Arial" w:hAnsi="Arial"/>
          <w:sz w:val="21"/>
          <w:szCs w:val="21"/>
        </w:rPr>
        <w:t xml:space="preserve">Le CCI (two-way mixed, consistency) est calculé sur les 9 variables. Un CCI ≥ 0.70 par variable et CCI global ≥ 0.75 est requis.</w:t>
      </w:r>
    </w:p>
    <w:p>
      <w:pPr>
        <w:spacing w:before="20" w:after="0"/>
      </w:pPr>
    </w:p>
    <w:p>
      <w:pPr>
        <w:pStyle w:val="Heading2"/>
        <w:spacing w:before="280" w:after="80"/>
      </w:pPr>
      <w:r>
        <w:rPr>
          <w:rFonts w:ascii="Arial" w:cs="Arial" w:eastAsia="Arial" w:hAnsi="Arial"/>
          <w:b/>
          <w:bCs/>
          <w:color w:val="1B2A6B"/>
          <w:sz w:val="27"/>
          <w:szCs w:val="27"/>
        </w:rPr>
        <w:t xml:space="preserve">2.2 Seuils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CCI obtenu</w:t>
            </w:r>
          </w:p>
        </w:tc>
        <w:tc>
          <w:tcPr>
            <w:tcW w:type="dxa" w:w="25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Statut</w:t>
            </w:r>
          </w:p>
        </w:tc>
        <w:tc>
          <w:tcPr>
            <w:tcW w:type="dxa" w:w="52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CCI ≥ 0.75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Accord fort — WP validé</w:t>
            </w:r>
          </w:p>
        </w:tc>
        <w:tc>
          <w:tcPr>
            <w:tcW w:type="dxa" w:w="5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Publication directe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0.70 ≤ CCI &lt; 0.75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Accord acceptable — WP validé sous réserve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Séance de calibration sur les variables en désaccord · mention dans le WP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0.60 ≤ CCI &lt; 0.70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Accord faible — WP rejeté</w:t>
            </w:r>
          </w:p>
        </w:tc>
        <w:tc>
          <w:tcPr>
            <w:tcW w:type="dxa" w:w="5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Recalibration complète sur les ancres · nouveau codage indépendant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CCI &lt; 0.60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Désaccord — WP invalide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Suspension · révision des ancres de la grille · diagnostic du problème systémique</w:t>
            </w:r>
          </w:p>
        </w:tc>
      </w:tr>
    </w:tbl>
    <w:p>
      <w:pPr>
        <w:spacing w:before="20" w:after="0"/>
      </w:pPr>
    </w:p>
    <w:p>
      <w:pPr>
        <w:pStyle w:val="Heading2"/>
        <w:spacing w:before="280" w:after="80"/>
      </w:pPr>
      <w:r>
        <w:rPr>
          <w:rFonts w:ascii="Arial" w:cs="Arial" w:eastAsia="Arial" w:hAnsi="Arial"/>
          <w:b/>
          <w:bCs/>
          <w:color w:val="1B2A6B"/>
          <w:sz w:val="27"/>
          <w:szCs w:val="27"/>
        </w:rPr>
        <w:t xml:space="preserve">2.3 Procédure de résolution des désaccords</w:t>
      </w:r>
    </w:p>
    <w:p>
      <w:pPr>
        <w:pStyle w:val="ListParagraph"/>
        <w:numPr>
          <w:ilvl w:val="0"/>
          <w:numId w:val="3"/>
        </w:numPr>
        <w:spacing w:before="40" w:after="40"/>
      </w:pPr>
      <w:r>
        <w:rPr>
          <w:rFonts w:ascii="Arial" w:cs="Arial" w:eastAsia="Arial" w:hAnsi="Arial"/>
          <w:sz w:val="21"/>
          <w:szCs w:val="21"/>
        </w:rPr>
        <w:t xml:space="preserve">Désaccord ≤ 2 points sur une variable continue : les deux scores sont moyennés. La valeur moyenne est la valeur retenue.</w:t>
      </w:r>
    </w:p>
    <w:p>
      <w:pPr>
        <w:pStyle w:val="ListParagraph"/>
        <w:numPr>
          <w:ilvl w:val="0"/>
          <w:numId w:val="3"/>
        </w:numPr>
        <w:spacing w:before="40" w:after="40"/>
      </w:pPr>
      <w:r>
        <w:rPr>
          <w:rFonts w:ascii="Arial" w:cs="Arial" w:eastAsia="Arial" w:hAnsi="Arial"/>
          <w:sz w:val="21"/>
          <w:szCs w:val="21"/>
        </w:rPr>
        <w:t xml:space="preserve">Désaccord &gt; 2 points sur une variable continue : séance de confrontation avec sources primaires. Le codeur qui cite la source la plus haute dans la hiérarchie (Section 5) a priorité. En cas d'égalité, un troisième codeur tranche.</w:t>
      </w:r>
    </w:p>
    <w:p>
      <w:pPr>
        <w:pStyle w:val="ListParagraph"/>
        <w:numPr>
          <w:ilvl w:val="0"/>
          <w:numId w:val="3"/>
        </w:numPr>
        <w:spacing w:before="40" w:after="40"/>
      </w:pPr>
      <w:r>
        <w:rPr>
          <w:rFonts w:ascii="Arial" w:cs="Arial" w:eastAsia="Arial" w:hAnsi="Arial"/>
          <w:sz w:val="21"/>
          <w:szCs w:val="21"/>
        </w:rPr>
        <w:t xml:space="preserve">Désaccord sur une variable catégorielle (Sa, trajectoire) : séance de confrontation obligatoire. Pas de moyenne possible. Un troisième codeur tranche si aucun consensus en 60 minutes.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6B3FA0"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F3EEF9" w:val="clear"/>
            <w:tcMar>
              <w:top w:type="dxa" w:w="110"/>
              <w:left w:type="dxa" w:w="160"/>
              <w:bottom w:type="dxa" w:w="110"/>
              <w:right w:type="dxa" w:w="160"/>
            </w:tcMar>
          </w:tcPr>
          <w:p>
            <w:pPr>
              <w:spacing w:before="0" w:after="40"/>
            </w:pPr>
            <w:r>
              <w:rPr>
                <w:rFonts w:ascii="Arial" w:cs="Arial" w:eastAsia="Arial" w:hAnsi="Arial"/>
                <w:b/>
                <w:bCs/>
                <w:color w:val="6B3FA0"/>
                <w:sz w:val="21"/>
                <w:szCs w:val="21"/>
              </w:rPr>
              <w:t xml:space="preserve">Cas particulier — Variables Sa</w:t>
            </w:r>
          </w:p>
          <w:p>
            <w:pPr>
              <w:spacing w:before="0" w:after="0"/>
              <w:jc w:val="both"/>
            </w:pPr>
            <w:r>
              <w:rPr>
                <w:rFonts w:ascii="Arial" w:cs="Arial" w:eastAsia="Arial" w:hAnsi="Arial"/>
                <w:sz w:val="20"/>
                <w:szCs w:val="20"/>
              </w:rPr>
              <w:t xml:space="preserve">Sa est une variable semi-fixe déterminée par les travaux d'Emmanuel Todd. Le codeur doit justifier toute valeur de Sa qui s'écarte de la table Todd de référence (atlas familial 1983, L'Invention de l'Europe 1990, Who is Charlie 2015) par une source historique primaire documentant une évolution structurelle. Les écarts non justifiés sont rejetés automatiquement.</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3. Stress-test de robustesse — Protocole à 3 niveaux</w:t>
      </w:r>
    </w:p>
    <w:p>
      <w:pPr>
        <w:spacing w:before="60" w:after="60"/>
        <w:jc w:val="both"/>
      </w:pPr>
      <w:r>
        <w:rPr>
          <w:rFonts w:ascii="Arial" w:cs="Arial" w:eastAsia="Arial" w:hAnsi="Arial"/>
          <w:sz w:val="22"/>
          <w:szCs w:val="22"/>
        </w:rPr>
        <w:t xml:space="preserve">Un diagnostic n'est considéré comme valide que s'il résiste à une perturbation systématique des variables d'entrée. Le stress-test se déroule en trois niveaux successifs. Un WP ne peut passer au niveau suivant que si le niveau précédent est validé.</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C05200"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FFF0E6" w:val="clear"/>
            <w:tcMar>
              <w:top w:type="dxa" w:w="110"/>
              <w:left w:type="dxa" w:w="160"/>
              <w:bottom w:type="dxa" w:w="110"/>
              <w:right w:type="dxa" w:w="160"/>
            </w:tcMar>
          </w:tcPr>
          <w:p>
            <w:pPr>
              <w:spacing w:before="0" w:after="40"/>
            </w:pPr>
            <w:r>
              <w:rPr>
                <w:rFonts w:ascii="Arial" w:cs="Arial" w:eastAsia="Arial" w:hAnsi="Arial"/>
                <w:b/>
                <w:bCs/>
                <w:color w:val="C05200"/>
                <w:sz w:val="21"/>
                <w:szCs w:val="21"/>
              </w:rPr>
              <w:t xml:space="preserve">Principe fondamental</w:t>
            </w:r>
          </w:p>
          <w:p>
            <w:pPr>
              <w:spacing w:before="0" w:after="0"/>
              <w:jc w:val="both"/>
            </w:pPr>
            <w:r>
              <w:rPr>
                <w:rFonts w:ascii="Arial" w:cs="Arial" w:eastAsia="Arial" w:hAnsi="Arial"/>
                <w:sz w:val="20"/>
                <w:szCs w:val="20"/>
              </w:rPr>
              <w:t xml:space="preserve">Le stress-test teste chaque variable séparément avant de tester des combinaisons. Tester uniquement des combinaisons (optimiste/pessimiste globaux) masque quelle variable est le vrai déterminant de la trajectoire — information essentielle pour la calibration bayésienne de MEPA Lite.</w:t>
            </w:r>
          </w:p>
        </w:tc>
      </w:tr>
    </w:tbl>
    <w:p>
      <w:pPr>
        <w:spacing w:before="30" w:after="0"/>
      </w:pPr>
    </w:p>
    <w:p>
      <w:pPr>
        <w:pStyle w:val="Heading2"/>
        <w:spacing w:before="280" w:after="80"/>
      </w:pPr>
      <w:r>
        <w:rPr>
          <w:rFonts w:ascii="Arial" w:cs="Arial" w:eastAsia="Arial" w:hAnsi="Arial"/>
          <w:b/>
          <w:bCs/>
          <w:color w:val="1B2A6B"/>
          <w:sz w:val="27"/>
          <w:szCs w:val="27"/>
        </w:rPr>
        <w:t xml:space="preserve">Niveau 1 — Sensibilité individuelle</w:t>
      </w:r>
    </w:p>
    <w:p>
      <w:pPr>
        <w:spacing w:before="60" w:after="60"/>
        <w:jc w:val="both"/>
      </w:pPr>
      <w:r>
        <w:rPr>
          <w:rFonts w:ascii="Arial" w:cs="Arial" w:eastAsia="Arial" w:hAnsi="Arial"/>
          <w:sz w:val="22"/>
          <w:szCs w:val="22"/>
        </w:rPr>
        <w:t xml:space="preserve">Chaque variable critique est perturbée de ±20% (variables continues) ou d'un cran (variables catégorielles) pendant que toutes les autres restent à leur valeur de référence. On note si la trajectoire diagnostiquée change.</w:t>
      </w:r>
    </w:p>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Variable</w:t>
            </w:r>
          </w:p>
        </w:tc>
        <w:tc>
          <w:tcPr>
            <w:tcW w:type="dxa" w:w="2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Perturbation Niveau 1</w:t>
            </w:r>
          </w:p>
        </w:tc>
        <w:tc>
          <w:tcPr>
            <w:tcW w:type="dxa" w:w="51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Résultat attendu si robuste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 points (sur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score F/R varie &lt; 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E_split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α_eff varie &lt; 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γ</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terme γ×E_split×H_ind varie &lt; 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β_eff reste du même signe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effet boomerang non déclenché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A_r_c_eff et A_r_ne_eff varient &lt; 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 A_d_max varie &lt; 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±0.15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Cran adjacent (ex: nucléaire → souche)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stable OU bifurcation documentée</w:t>
            </w:r>
          </w:p>
        </w:tc>
      </w:tr>
    </w:tbl>
    <w:p>
      <w:pPr>
        <w:spacing w:before="30" w:after="0"/>
      </w:pPr>
    </w:p>
    <w:p>
      <w:pPr>
        <w:pStyle w:val="Heading2"/>
        <w:spacing w:before="280" w:after="80"/>
      </w:pPr>
      <w:r>
        <w:rPr>
          <w:rFonts w:ascii="Arial" w:cs="Arial" w:eastAsia="Arial" w:hAnsi="Arial"/>
          <w:b/>
          <w:bCs/>
          <w:color w:val="1B2A6B"/>
          <w:sz w:val="27"/>
          <w:szCs w:val="27"/>
        </w:rPr>
        <w:t xml:space="preserve">Niveau 2 — Combinaisons critiques</w:t>
      </w:r>
    </w:p>
    <w:p>
      <w:pPr>
        <w:spacing w:before="60" w:after="60"/>
        <w:jc w:val="both"/>
      </w:pPr>
      <w:r>
        <w:rPr>
          <w:rFonts w:ascii="Arial" w:cs="Arial" w:eastAsia="Arial" w:hAnsi="Arial"/>
          <w:sz w:val="22"/>
          <w:szCs w:val="22"/>
        </w:rPr>
        <w:t xml:space="preserve">Deux variantes globales sont testées sur les variables les plus sensibles identifiées au Niveau 1.</w:t>
      </w:r>
    </w:p>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Variante</w:t>
            </w:r>
          </w:p>
        </w:tc>
        <w:tc>
          <w:tcPr>
            <w:tcW w:type="dxa" w:w="3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Perturbation</w:t>
            </w:r>
          </w:p>
        </w:tc>
        <w:tc>
          <w:tcPr>
            <w:tcW w:type="dxa" w:w="37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Interprétation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Optimiste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 +2 · E_split −0.15 · A_r_ne −0.10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Scénario où le régime gère mieux et la contestation est moins organisée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Pessimiste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 −2 · E_split +0.15 · A_r_ne +0.10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Scénario de dégradation accélérée</w:t>
            </w:r>
          </w:p>
        </w:tc>
      </w:tr>
    </w:tbl>
    <w:p>
      <w:pPr>
        <w:spacing w:before="20" w:after="0"/>
      </w:pPr>
    </w:p>
    <w:p>
      <w:pPr>
        <w:pStyle w:val="Heading3"/>
        <w:spacing w:before="180" w:after="60"/>
      </w:pPr>
      <w:r>
        <w:rPr>
          <w:rFonts w:ascii="Arial" w:cs="Arial" w:eastAsia="Arial" w:hAnsi="Arial"/>
          <w:b/>
          <w:bCs/>
          <w:color w:val="555555"/>
          <w:sz w:val="23"/>
          <w:szCs w:val="23"/>
        </w:rPr>
        <w:t xml:space="preserve">Classification de robustesse Niveau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Résultat</w:t>
            </w:r>
          </w:p>
        </w:tc>
        <w:tc>
          <w:tcPr>
            <w:tcW w:type="dxa" w:w="22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Classification</w:t>
            </w:r>
          </w:p>
        </w:tc>
        <w:tc>
          <w:tcPr>
            <w:tcW w:type="dxa" w:w="47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Mention dans le WP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identique dans les 3 scénarios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Robuste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'Diagnostic robuste — stable sous perturbation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bascule dans 1 scénario sur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Métastable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'Nœud de bifurcation critique — système en métastabilité'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bascule dans les 2 scénarios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Fragile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'Diagnostic conditionnel — sensibilité élevée aux hypothèses'</w:t>
            </w:r>
          </w:p>
        </w:tc>
      </w:tr>
    </w:tbl>
    <w:p>
      <w:pPr>
        <w:spacing w:before="30" w:after="0"/>
      </w:pPr>
    </w:p>
    <w:p>
      <w:pPr>
        <w:pStyle w:val="Heading2"/>
        <w:spacing w:before="280" w:after="80"/>
      </w:pPr>
      <w:r>
        <w:rPr>
          <w:rFonts w:ascii="Arial" w:cs="Arial" w:eastAsia="Arial" w:hAnsi="Arial"/>
          <w:b/>
          <w:bCs/>
          <w:color w:val="1B2A6B"/>
          <w:sz w:val="27"/>
          <w:szCs w:val="27"/>
        </w:rPr>
        <w:t xml:space="preserve">Niveau 3 — Test de la prédiction falsifiable associée</w:t>
      </w:r>
    </w:p>
    <w:p>
      <w:pPr>
        <w:spacing w:before="60" w:after="60"/>
        <w:jc w:val="both"/>
      </w:pPr>
      <w:r>
        <w:rPr>
          <w:rFonts w:ascii="Arial" w:cs="Arial" w:eastAsia="Arial" w:hAnsi="Arial"/>
          <w:sz w:val="22"/>
          <w:szCs w:val="22"/>
        </w:rPr>
        <w:t xml:space="preserve">Chaque WP doit identifier parmi les 5 prédictions Popper de MEPA Full V6.0 (Section 7 du cadre) celle qui est testable sur ce cas. Le codeur formule explicitement la condition d'observation qui confirmerait ou infirmerait la prédiction sur ce cas précis, avec un horizon temporel daté.</w:t>
      </w:r>
    </w:p>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700"/>
        <w:gridCol w:w="2260"/>
      </w:tblGrid>
      <w:tr>
        <w:tc>
          <w:tcPr>
            <w:tcW w:type="dxa" w:w="14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Prédiction V6.0</w:t>
            </w:r>
          </w:p>
        </w:tc>
        <w:tc>
          <w:tcPr>
            <w:tcW w:type="dxa" w:w="2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Cas test naturel</w:t>
            </w:r>
          </w:p>
        </w:tc>
        <w:tc>
          <w:tcPr>
            <w:tcW w:type="dxa" w:w="37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Condition d'observation</w:t>
            </w:r>
          </w:p>
        </w:tc>
        <w:tc>
          <w:tcPr>
            <w:tcW w:type="dxa" w:w="22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Horizon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 — Réforme après redistribution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Deng 1978 vs Gorbatchev 1985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Croissance PIB/hab. dans les 5 ans post-réforme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Déjà observable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P2 — Seuil EROI → 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Rome · URSS · Liban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Délai entre EROI &lt; seuil et première défection documentée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Sur données historiques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P3 — γ &gt; 0.6 → institutionnalisation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Russie 1917 vs Commune 1871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Durée de la trajectoire post-(a) avant retour à (c/d/h)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Sur données historiques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P4 — A_r_ne &gt; 0.75 → (a) impossible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Chine 1989 vs Chine 2024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Mobilisation nationale sans G exogène ≥ 7/10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2024–2030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P5 — Sa nucléaire + crise → (e)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Islande 2008 · Portugal 2010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Stabilisation institutionnelle dans les 5 ans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Déjà observable</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4. Critères de réfutation avec horizons temporels précis</w:t>
      </w:r>
    </w:p>
    <w:p>
      <w:pPr>
        <w:spacing w:before="60" w:after="60"/>
        <w:jc w:val="both"/>
      </w:pPr>
      <w:r>
        <w:rPr>
          <w:rFonts w:ascii="Arial" w:cs="Arial" w:eastAsia="Arial" w:hAnsi="Arial"/>
          <w:sz w:val="22"/>
          <w:szCs w:val="22"/>
        </w:rPr>
        <w:t xml:space="preserve">Conformément au critère de Popper, chaque condition de réfutation doit être observable dans une fenêtre temporelle définie. Une condition sans horizon temporel n'est pas falsifiable. Les trois conditions suivantes invalideraient MEPA V6.0 si observées dans les fenêtres indiquées.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6B" w:val="clear"/>
            <w:tcMar>
              <w:top w:type="dxa" w:w="130"/>
              <w:left w:type="dxa" w:w="200"/>
              <w:bottom w:type="dxa" w:w="130"/>
              <w:right w:type="dxa" w:w="200"/>
            </w:tcMar>
          </w:tcPr>
          <w:p>
            <w:r>
              <w:rPr>
                <w:rFonts w:ascii="Arial" w:cs="Arial" w:eastAsia="Arial" w:hAnsi="Arial"/>
                <w:b/>
                <w:bCs/>
                <w:color w:val="FFFFFF"/>
                <w:sz w:val="21"/>
                <w:szCs w:val="21"/>
              </w:rPr>
              <w:t xml:space="preserve">RF1 — Inversion du ciseau énergétique</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Élément</w:t>
            </w:r>
          </w:p>
        </w:tc>
        <w:tc>
          <w:tcPr>
            <w:tcW w:type="dxa" w:w="7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Énoncé</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Maintien de la paix sociale (R &gt; F durablement) pendant plus de 15 ans consécutifs malgré EROI &lt; 5 ET complexité institutionnelle Ω en hausse, sans découverte technologique documentée augmentant l'EROI de plus de 30%.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Fenêtre d'observation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2025–2040 pour les économies dont l'EROI fossile est &lt; 5 sous contrainte de sanctions (Iran, Venezuela, Russie post-2022)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de réfutation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Aucune défection majeure des appareils AND aucune trajectoire (d) dans ces économies d'ici 2040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 de test actif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Iran (EROI estimé &lt; 5 sous sanctions maximales · délai prédit : 8–12 ans · fenêtre : 2026–2034)</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377" w:val="clear"/>
            <w:tcMar>
              <w:top w:type="dxa" w:w="130"/>
              <w:left w:type="dxa" w:w="200"/>
              <w:bottom w:type="dxa" w:w="130"/>
              <w:right w:type="dxa" w:w="200"/>
            </w:tcMar>
          </w:tcPr>
          <w:p>
            <w:r>
              <w:rPr>
                <w:rFonts w:ascii="Arial" w:cs="Arial" w:eastAsia="Arial" w:hAnsi="Arial"/>
                <w:b/>
                <w:bCs/>
                <w:color w:val="FFFFFF"/>
                <w:sz w:val="21"/>
                <w:szCs w:val="21"/>
              </w:rPr>
              <w:t xml:space="preserve">RF2 — Découplage de la cristallisation</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Élément</w:t>
            </w:r>
          </w:p>
        </w:tc>
        <w:tc>
          <w:tcPr>
            <w:tcW w:type="dxa" w:w="7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Énoncé</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Absence de trajectoire (a) ou (d) pendant plus de 20 ans malgré E_split &gt; 0.7 ET γ &gt; 0.5 ET H_ind au maximum (saturation de la pression sociale), sans A_r_ne &gt; 0.75 ni G exogène majeur.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Fenêtre d'observation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 ans à partir de la date de codage du WP où ces conditions sont observées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de réfutation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Stabilité (h) ou réforme (e) maintenues 20 ans sans bascule F &gt; 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 de test actif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France 2025 (E_split estimé 0.55–0.65 · γ estimé 0.3–0.4 · A_r_ne &lt; 0.3 · fenêtre : 2025–2045)</w:t>
            </w:r>
          </w:p>
        </w:tc>
      </w:tr>
    </w:tbl>
    <w:p>
      <w:pPr>
        <w:spacing w:before="25"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5200" w:val="clear"/>
            <w:tcMar>
              <w:top w:type="dxa" w:w="130"/>
              <w:left w:type="dxa" w:w="200"/>
              <w:bottom w:type="dxa" w:w="130"/>
              <w:right w:type="dxa" w:w="200"/>
            </w:tcMar>
          </w:tcPr>
          <w:p>
            <w:r>
              <w:rPr>
                <w:rFonts w:ascii="Arial" w:cs="Arial" w:eastAsia="Arial" w:hAnsi="Arial"/>
                <w:b/>
                <w:bCs/>
                <w:color w:val="FFFFFF"/>
                <w:sz w:val="21"/>
                <w:szCs w:val="21"/>
              </w:rPr>
              <w:t xml:space="preserve">RF3 — Survie de la complexité sans contrainte énergétique</w:t>
            </w:r>
          </w:p>
        </w:tc>
      </w:tr>
    </w:tbl>
    <w:p>
      <w:pPr>
        <w:spacing w:before="1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Élément</w:t>
            </w:r>
          </w:p>
        </w:tc>
        <w:tc>
          <w:tcPr>
            <w:tcW w:type="dxa" w:w="7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Énoncé</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Augmentation soutenue de la complexité institutionnelle Ω (mesurée par les indices V-DEM de complexité institutionnelle) pendant plus de 30 ans dans une économie dont l'EROI fossile est en déclin continu, sans substitution énergétique documentée.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Fenêtre d'observation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2025–2055 pour les économies dont l'EROI fossile est structurellement déclinant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de réfutation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Aucune compression budgétaire institutionnelle (&lt; 5% de réduction des dépenses publiques/PIB) malgré EROI déclinant pendant 30 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 de test actif</w:t>
            </w:r>
          </w:p>
        </w:tc>
        <w:tc>
          <w:tcPr>
            <w:tcW w:type="dxa" w:w="7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UE 2025–2035 (WP-C5-4) · France 2025–2030 (WP-C5-5)</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5. Hiérarchie des sources</w:t>
      </w:r>
    </w:p>
    <w:p>
      <w:pPr>
        <w:spacing w:before="60" w:after="60"/>
        <w:jc w:val="both"/>
      </w:pPr>
      <w:r>
        <w:rPr>
          <w:rFonts w:ascii="Arial" w:cs="Arial" w:eastAsia="Arial" w:hAnsi="Arial"/>
          <w:sz w:val="22"/>
          <w:szCs w:val="22"/>
        </w:rPr>
        <w:t xml:space="preserve">En cas de conflit entre sources pour scorer une variable, la priorité est déterminée par la hiérarchie suivante. Le codeur doit mentionner explicitement la source utilisée et son niveau dans la fiche de codage.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3960"/>
      </w:tblGrid>
      <w:tr>
        <w:tc>
          <w:tcPr>
            <w:tcW w:type="dxa" w:w="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Niveau</w:t>
            </w:r>
          </w:p>
        </w:tc>
        <w:tc>
          <w:tcPr>
            <w:tcW w:type="dxa" w:w="26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Type de source</w:t>
            </w:r>
          </w:p>
        </w:tc>
        <w:tc>
          <w:tcPr>
            <w:tcW w:type="dxa" w:w="22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Variables concernées</w:t>
            </w:r>
          </w:p>
        </w:tc>
        <w:tc>
          <w:tcPr>
            <w:tcW w:type="dxa" w:w="39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Exemples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N1 — Biophysique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Données EROI primaires · bilans énergétiques nationaux · études Hall, Murphy, Cleveland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 · A_d_max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Hall &amp; Cleveland (2011) · IEA · BP Statistical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N2 — Anthropologique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Atlas familial Todd · travaux démographiques structuraux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 · Q2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Todd (1983, 1990, 2015) · Duranton et 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N3 — Sociologique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Cliodynamique Turchin · données VDEM · Polity IV · World Bank governance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E_split · γ · Ω · μs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Turchin (2016, 2023) · V-DEM Institute · Polity5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N4 — Économique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PIB/hab. · Gini · dépenses publiques · comptes nationaux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 · A_d_max · inégalités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World Bank · FMI · données nationales officielles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N5 — Politique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Enquêtes d'opinion indépendantes · rapports RSF · Human Rights Watch · Amnesty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Cs · A_r_ne · A_r_c · L(t)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Baromètre arabe · Eurobaromètre · Freedom House · RSF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N6 — Narrative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Mémoires · témoignages · presse d'époque · historiographie secondaire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Tous (complément uniquement)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Utilisable uniquement si N1–N5 indisponibles</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1B2A6B"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EEF1FB" w:val="clear"/>
            <w:tcMar>
              <w:top w:type="dxa" w:w="110"/>
              <w:left w:type="dxa" w:w="160"/>
              <w:bottom w:type="dxa" w:w="110"/>
              <w:right w:type="dxa" w:w="160"/>
            </w:tcMar>
          </w:tcPr>
          <w:p>
            <w:pPr>
              <w:spacing w:before="0" w:after="40"/>
            </w:pPr>
            <w:r>
              <w:rPr>
                <w:rFonts w:ascii="Arial" w:cs="Arial" w:eastAsia="Arial" w:hAnsi="Arial"/>
                <w:b/>
                <w:bCs/>
                <w:color w:val="1B2A6B"/>
                <w:sz w:val="21"/>
                <w:szCs w:val="21"/>
              </w:rPr>
              <w:t xml:space="preserve">Règle de conflit de sources</w:t>
            </w:r>
          </w:p>
          <w:p>
            <w:pPr>
              <w:spacing w:before="0" w:after="0"/>
              <w:jc w:val="both"/>
            </w:pPr>
            <w:r>
              <w:rPr>
                <w:rFonts w:ascii="Arial" w:cs="Arial" w:eastAsia="Arial" w:hAnsi="Arial"/>
                <w:sz w:val="20"/>
                <w:szCs w:val="20"/>
              </w:rPr>
              <w:t xml:space="preserve">Si une source N5 (politique) contredit une source N1 (biophysique) pour scorer une même variable, la source N1 a priorité absolue. Exception : si la source N5 documente un événement récent non encore intégré dans les bases N1–N4, elle peut être utilisée avec mention explicite de son caractère provisoire.</w:t>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6. Fiche de codage standardisée</w:t>
      </w:r>
    </w:p>
    <w:p>
      <w:pPr>
        <w:spacing w:before="60" w:after="60"/>
        <w:jc w:val="both"/>
      </w:pPr>
      <w:r>
        <w:rPr>
          <w:rFonts w:ascii="Arial" w:cs="Arial" w:eastAsia="Arial" w:hAnsi="Arial"/>
          <w:sz w:val="22"/>
          <w:szCs w:val="22"/>
        </w:rPr>
        <w:t xml:space="preserve">Chaque WP est accompagné d'une fiche de codage complétée par chaque codeur indépendamment. La fiche est annexée au WP final après résolution des désaccords.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880"/>
      </w:tblGrid>
      <w:tr>
        <w:tc>
          <w:tcPr>
            <w:tcW w:type="dxa" w:w="28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Champ</w:t>
            </w:r>
          </w:p>
        </w:tc>
        <w:tc>
          <w:tcPr>
            <w:tcW w:type="dxa" w:w="1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Codeur A</w:t>
            </w:r>
          </w:p>
        </w:tc>
        <w:tc>
          <w:tcPr>
            <w:tcW w:type="dxa" w:w="1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Codeur B</w:t>
            </w:r>
          </w:p>
        </w:tc>
        <w:tc>
          <w:tcPr>
            <w:tcW w:type="dxa" w:w="15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Score retenu</w:t>
            </w:r>
          </w:p>
        </w:tc>
        <w:tc>
          <w:tcPr>
            <w:tcW w:type="dxa" w:w="188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Source (niveau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WP identifiant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Cas historique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Arc / Cluster (séparés)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T0 (date début)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T_final (date fin)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E_split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γ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 [0,10]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A_r_ne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A_r_c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Cs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 [0,1]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 (valeur)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 (type Todd)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MEPA Full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MEPA Lite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CCI calculé</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Niveau de robustesse (N1/N2/N3)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Prédiction Popper testée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Condition de réfutation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Horizon temporel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c>
          <w:tcPr>
            <w:tcW w:type="dxa" w:w="18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
            </w:r>
          </w:p>
        </w:tc>
      </w:tr>
    </w:tbl>
    <w:p>
      <w:pPr>
        <w:spacing w:before="200" w:after="0"/>
      </w:pPr>
    </w:p>
    <w:p>
      <w:r>
        <w:br w:type="page"/>
      </w:r>
    </w:p>
    <w:p>
      <w:pPr>
        <w:pStyle w:val="Heading1"/>
        <w:pBdr>
          <w:bottom w:val="single" w:color="1B2A6B" w:sz="10" w:space="1"/>
        </w:pBdr>
        <w:spacing w:before="400" w:after="120"/>
      </w:pPr>
      <w:r>
        <w:rPr>
          <w:rFonts w:ascii="Arial" w:cs="Arial" w:eastAsia="Arial" w:hAnsi="Arial"/>
          <w:b/>
          <w:bCs/>
          <w:color w:val="1B2A6B"/>
          <w:sz w:val="34"/>
          <w:szCs w:val="34"/>
        </w:rPr>
        <w:t xml:space="preserve">7. Lien avec MEPA Lite — Protocole de calibration</w:t>
      </w:r>
    </w:p>
    <w:p>
      <w:pPr>
        <w:spacing w:before="60" w:after="60"/>
        <w:jc w:val="both"/>
      </w:pPr>
      <w:r>
        <w:rPr>
          <w:rFonts w:ascii="Arial" w:cs="Arial" w:eastAsia="Arial" w:hAnsi="Arial"/>
          <w:sz w:val="22"/>
          <w:szCs w:val="22"/>
        </w:rPr>
        <w:t xml:space="preserve">Ce protocole est conçu pour alimenter directement la calibration bayésienne de MEPA Lite. Les scores produits par les WP codés selon ce protocole sont les données d'entrée de la Phase 1 de calibration. La cohérence entre ce protocole et MEPA Lite est assurée par les correspondances suivantes.</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Variable WP (protocole)</w:t>
            </w:r>
          </w:p>
        </w:tc>
        <w:tc>
          <w:tcPr>
            <w:tcW w:type="dxa" w:w="2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Variable MEPA Lite</w:t>
            </w:r>
          </w:p>
        </w:tc>
        <w:tc>
          <w:tcPr>
            <w:tcW w:type="dxa" w:w="200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Paramètre calibré</w:t>
            </w:r>
          </w:p>
        </w:tc>
        <w:tc>
          <w:tcPr>
            <w:tcW w:type="dxa" w:w="3360"/>
            <w:tcBorders>
              <w:top w:val="single" w:color="CCCCCC" w:sz="1"/>
              <w:left w:val="single" w:color="CCCCCC" w:sz="1"/>
              <w:bottom w:val="single" w:color="CCCCCC" w:sz="1"/>
              <w:right w:val="single" w:color="CCCCCC" w:sz="1"/>
            </w:tcBorders>
            <w:shd w:fill="EEF1FB" w:val="clear"/>
            <w:tcMar>
              <w:top w:type="dxa" w:w="80"/>
              <w:left w:type="dxa" w:w="130"/>
              <w:bottom w:type="dxa" w:w="80"/>
              <w:right w:type="dxa" w:w="130"/>
            </w:tcMar>
          </w:tcPr>
          <w:p>
            <w:r>
              <w:rPr>
                <w:rFonts w:ascii="Arial" w:cs="Arial" w:eastAsia="Arial" w:hAnsi="Arial"/>
                <w:b/>
                <w:bCs/>
                <w:color w:val="1B2A6B"/>
                <w:sz w:val="20"/>
                <w:szCs w:val="20"/>
              </w:rPr>
              <w:t xml:space="preserve">Rôle dans la calibration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E_split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p10 (cristallisation)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l'amplification de M par 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gamma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μ×E×γ dans 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la contribution de γ×E_split dans 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A_d_eff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p6, p7, p13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la dissipation de C et la loyauté ℓ</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Rn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p11b (boomerang)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l'effet boomerang dans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A_r_c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Rc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p11a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l'impact de la répression classique sur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EROI (commande)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p8, p9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la dynamique de complexité 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Intégré dans Rn×(1−κC)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p11b, kappa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le seuil de l'effet boomerang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ℓ = R/(R+p13)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Calibre le seuil de loyauté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a (facteur E_split)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p10 (composante Sa)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Prior sur α_0(Sa)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observée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Trajectoire MEPA Lite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Tous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Variable de validation de l'arbre de décision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θ_C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arbre décision (ΔC_rel)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θ_C = 0.30 (ajustable)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bascule (c)→(a) — arbre de décision trajectoire V6.2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θ_I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arbre décision (ΔI_rel)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θ_I = 0.22 (ajustable)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000000"/>
                <w:sz w:val="19"/>
                <w:szCs w:val="19"/>
              </w:rPr>
              <w:t xml:space="preserve">Seuil bascule (d) par érosion I — arbre de décision trajectoire V6.2</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
        <w:gridCol w:w="9220"/>
      </w:tblGrid>
      <w:tr>
        <w:tc>
          <w:tcPr>
            <w:tcBorders>
              <w:top w:val="none" w:color="FFFFFF" w:sz="0"/>
              <w:left w:val="none" w:color="FFFFFF" w:sz="0"/>
              <w:bottom w:val="none" w:color="FFFFFF" w:sz="0"/>
              <w:right w:val="none" w:color="FFFFFF" w:sz="0"/>
            </w:tcBorders>
            <w:shd w:fill="1A5C38" w:val="clear"/>
            <w:tcMar>
              <w:top w:type="dxa" w:w="60"/>
              <w:left w:type="dxa" w:w="0"/>
              <w:bottom w:type="dxa" w:w="60"/>
              <w:right w:type="dxa" w:w="0"/>
            </w:tcMar>
          </w:tcPr>
          <w:p/>
        </w:tc>
        <w:tc>
          <w:tcPr>
            <w:tcBorders>
              <w:top w:val="none" w:color="FFFFFF" w:sz="0"/>
              <w:left w:val="none" w:color="FFFFFF" w:sz="0"/>
              <w:bottom w:val="none" w:color="FFFFFF" w:sz="0"/>
              <w:right w:val="none" w:color="FFFFFF" w:sz="0"/>
            </w:tcBorders>
            <w:shd w:fill="EAF4EE" w:val="clear"/>
            <w:tcMar>
              <w:top w:type="dxa" w:w="110"/>
              <w:left w:type="dxa" w:w="160"/>
              <w:bottom w:type="dxa" w:w="110"/>
              <w:right w:type="dxa" w:w="160"/>
            </w:tcMar>
          </w:tcPr>
          <w:p>
            <w:pPr>
              <w:spacing w:before="0" w:after="40"/>
            </w:pPr>
            <w:r>
              <w:rPr>
                <w:rFonts w:ascii="Arial" w:cs="Arial" w:eastAsia="Arial" w:hAnsi="Arial"/>
                <w:b/>
                <w:bCs/>
                <w:color w:val="1A5C38"/>
                <w:sz w:val="21"/>
                <w:szCs w:val="21"/>
              </w:rPr>
              <w:t xml:space="preserve">Condition de validité pour la calibration</w:t>
            </w:r>
          </w:p>
          <w:p>
            <w:pPr>
              <w:spacing w:before="0" w:after="0"/>
              <w:jc w:val="both"/>
            </w:pPr>
            <w:r>
              <w:rPr>
                <w:rFonts w:ascii="Arial" w:cs="Arial" w:eastAsia="Arial" w:hAnsi="Arial"/>
                <w:sz w:val="20"/>
                <w:szCs w:val="20"/>
              </w:rPr>
              <w:t xml:space="preserve">Un WP n'est intégré dans la calibration bayésienne que si : (1) CCI global ≥ 0.75, (2) robustesse Niveau 1 validée, (3) trajectoire MEPA Full et trajectoire MEPA Lite concordantes. Un WP qui remplit ces trois conditions est un 'WP certifié' — il peut alimenter la calibration. Un WP qui échoue à l'une de ces conditions est archivé comme 'WP exploratoire' — il peut informer mais pas contraindre la calibration.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6B" w:val="clear"/>
            <w:tcMar>
              <w:top w:type="dxa" w:w="130"/>
              <w:left w:type="dxa" w:w="200"/>
              <w:bottom w:type="dxa" w:w="130"/>
              <w:right w:type="dxa" w:w="200"/>
            </w:tcMar>
          </w:tcPr>
          <w:p>
            <w:r>
              <w:rPr>
                <w:rFonts w:ascii="Arial" w:cs="Arial" w:eastAsia="Arial" w:hAnsi="Arial"/>
                <w:b/>
                <w:bCs/>
                <w:color w:val="FFFFFF"/>
                <w:sz w:val="21"/>
                <w:szCs w:val="21"/>
              </w:rPr>
              <w:t xml:space="preserve">Réponse à la question de fond : ce protocole renforce-t-il les résultats ?</w:t>
            </w:r>
          </w:p>
        </w:tc>
      </w:tr>
    </w:tbl>
    <w:p>
      <w:pPr>
        <w:spacing w:before="15" w:after="0"/>
      </w:pPr>
    </w:p>
    <w:p>
      <w:pPr>
        <w:spacing w:before="60" w:after="60"/>
        <w:jc w:val="both"/>
      </w:pPr>
      <w:r>
        <w:rPr>
          <w:rFonts w:ascii="Arial" w:cs="Arial" w:eastAsia="Arial" w:hAnsi="Arial"/>
          <w:sz w:val="22"/>
          <w:szCs w:val="22"/>
        </w:rPr>
        <w:t xml:space="preserve">Oui, de manière décisive et sur trois plans distincts.</w:t>
      </w:r>
    </w:p>
    <w:p>
      <w:pPr>
        <w:spacing w:before="10" w:after="0"/>
      </w:pPr>
    </w:p>
    <w:p>
      <w:pPr>
        <w:pStyle w:val="ListParagraph"/>
        <w:numPr>
          <w:ilvl w:val="0"/>
          <w:numId w:val="3"/>
        </w:numPr>
        <w:spacing w:before="40" w:after="40"/>
      </w:pPr>
      <w:r>
        <w:rPr>
          <w:rFonts w:ascii="Arial" w:cs="Arial" w:eastAsia="Arial" w:hAnsi="Arial"/>
          <w:sz w:val="21"/>
          <w:szCs w:val="21"/>
        </w:rPr>
        <w:t xml:space="preserve">Sur MEPA Full V6.0 : le protocole garantit que les 25 WP sont codés de manière homogène et comparable. Sans lui, deux WP du même Cluster pourraient utiliser des définitions différentes de E_split ou de Cs, rendant la comparaison entre WP impossible et la validation des 5 prédictions Popper intenable.</w:t>
      </w:r>
    </w:p>
    <w:p>
      <w:pPr>
        <w:pStyle w:val="ListParagraph"/>
        <w:numPr>
          <w:ilvl w:val="0"/>
          <w:numId w:val="3"/>
        </w:numPr>
        <w:spacing w:before="40" w:after="40"/>
      </w:pPr>
      <w:r>
        <w:rPr>
          <w:rFonts w:ascii="Arial" w:cs="Arial" w:eastAsia="Arial" w:hAnsi="Arial"/>
          <w:sz w:val="21"/>
          <w:szCs w:val="21"/>
        </w:rPr>
        <w:t xml:space="preserve">Sur MEPA Lite : le protocole produit les données d'entrée calibrées nécessaires à la Phase 1 de calibration bayésienne. Les scores WP sont les observations auxquelles MEPA Lite doit s'ajuster. Sans protocole standardisé, les données d'entrée sont contaminées par le bruit inter-codeurs — les paramètres p1–p13 calibrés absorberaient ce bruit plutôt que la vraie dynamique historique.</w:t>
      </w:r>
    </w:p>
    <w:p>
      <w:pPr>
        <w:pStyle w:val="ListParagraph"/>
        <w:numPr>
          <w:ilvl w:val="0"/>
          <w:numId w:val="3"/>
        </w:numPr>
        <w:spacing w:before="40" w:after="40"/>
      </w:pPr>
      <w:r>
        <w:rPr>
          <w:rFonts w:ascii="Arial" w:cs="Arial" w:eastAsia="Arial" w:hAnsi="Arial"/>
          <w:sz w:val="21"/>
          <w:szCs w:val="21"/>
        </w:rPr>
        <w:t xml:space="preserve">Sur la falsifiabilité : le protocole transforme les 5 prédictions Popper de MEPA Full en conditions observables datées, testables WP par WP. Il est le pont entre le modèle théorique et l'observation empirique — sans lui, les prédictions restent des assertions non testées.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6B" w:sz="4" w:space="2"/>
      </w:pBdr>
      <w:jc w:val="center"/>
    </w:pPr>
    <w:r>
      <w:rPr>
        <w:rFonts w:ascii="Arial" w:cs="Arial" w:eastAsia="Arial" w:hAnsi="Arial"/>
        <w:color w:val="555555"/>
        <w:sz w:val="18"/>
        <w:szCs w:val="18"/>
      </w:rPr>
      <w:t xml:space="preserve">Protocole Expérimental V6.0  ·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6B" w:sz="4" w:space="2"/>
      </w:pBdr>
    </w:pPr>
    <w:r>
      <w:rPr>
        <w:rFonts w:ascii="Arial" w:cs="Arial" w:eastAsia="Arial" w:hAnsi="Arial"/>
        <w:color w:val="555555"/>
        <w:sz w:val="18"/>
        <w:szCs w:val="18"/>
      </w:rPr>
      <w:t xml:space="preserve">MEPA V6.0 — Annexe Méthodologique : Protocole Expérimental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A6B"/>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B2A6B"/>
      <w:sz w:val="27"/>
      <w:szCs w:val="27"/>
    </w:rPr>
  </w:style>
  <w:style w:type="paragraph" w:styleId="Heading3">
    <w:name w:val="Heading 3"/>
    <w:basedOn w:val="Normal"/>
    <w:next w:val="Normal"/>
    <w:qFormat/>
    <w:pPr>
      <w:spacing w:before="180" w:after="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2026-03-10T08:26:06.818Z</dcterms:created>
  <dcterms:modified xsi:type="dcterms:W3CDTF">2026-03-10T08:26:06.818Z</dcterms:modified>
</cp:coreProperties>
</file>

<file path=docProps/custom.xml><?xml version="1.0" encoding="utf-8"?>
<Properties xmlns="http://schemas.openxmlformats.org/officeDocument/2006/custom-properties" xmlns:vt="http://schemas.openxmlformats.org/officeDocument/2006/docPropsVTypes"/>
</file>