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40"/>
        <w:jc w:val="center"/>
      </w:pPr>
      <w:r>
        <w:rPr>
          <w:rFonts w:ascii="Arial" w:cs="Arial" w:eastAsia="Arial" w:hAnsi="Arial"/>
          <w:b/>
          <w:bCs/>
          <w:color w:val="1B3A5C"/>
          <w:sz w:val="52"/>
          <w:szCs w:val="52"/>
        </w:rPr>
        <w:t xml:space="preserve">MEPA</w:t>
      </w:r>
    </w:p>
    <w:p>
      <w:pPr>
        <w:spacing w:before="0" w:after="40"/>
        <w:jc w:val="center"/>
      </w:pPr>
      <w:r>
        <w:rPr>
          <w:rFonts w:ascii="Arial" w:cs="Arial" w:eastAsia="Arial" w:hAnsi="Arial"/>
          <w:b/>
          <w:bCs/>
          <w:color w:val="2E6DA4"/>
          <w:sz w:val="28"/>
          <w:szCs w:val="28"/>
        </w:rPr>
        <w:t xml:space="preserve">Modèle Énergétique du Potentiel Adaptatif</w:t>
      </w:r>
    </w:p>
    <w:p>
      <w:pPr>
        <w:spacing w:before="0" w:after="20"/>
        <w:jc w:val="center"/>
      </w:pPr>
      <w:r>
        <w:rPr>
          <w:rFonts w:ascii="Arial" w:cs="Arial" w:eastAsia="Arial" w:hAnsi="Arial"/>
          <w:b/>
          <w:bCs/>
          <w:color w:val="2A7F7F"/>
          <w:sz w:val="24"/>
          <w:szCs w:val="24"/>
        </w:rPr>
        <w:t xml:space="preserve">Version 6.0 — Cadre théorique intégral</w:t>
      </w:r>
    </w:p>
    <w:p>
      <w:pPr>
        <w:spacing w:before="0" w:after="40"/>
        <w:jc w:val="center"/>
      </w:pPr>
      <w:r>
        <w:rPr>
          <w:rFonts w:ascii="Arial" w:cs="Arial" w:eastAsia="Arial" w:hAnsi="Arial"/>
          <w:b/>
          <w:bCs/>
          <w:color w:val="2A7F7F"/>
          <w:sz w:val="22"/>
          <w:szCs w:val="22"/>
        </w:rPr>
        <w:t xml:space="preserve">Version A — Double public (notation mixte)</w:t>
      </w:r>
    </w:p>
    <w:p>
      <w:pPr>
        <w:spacing w:before="0" w:after="80"/>
        <w:jc w:val="center"/>
      </w:pPr>
      <w:r>
        <w:rPr>
          <w:rFonts w:ascii="Arial" w:cs="Arial" w:eastAsia="Arial" w:hAnsi="Arial"/>
          <w:color w:val="AAAAAA"/>
          <w:sz w:val="19"/>
          <w:szCs w:val="19"/>
        </w:rPr>
        <w:t xml:space="preserve">Mars 2026  ·  Document de travail — usage interne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BDD4" w:sz="1"/>
              <w:left w:val="single" w:color="2E6DA4" w:sz="6"/>
              <w:bottom w:val="single" w:color="AABDD4" w:sz="1"/>
              <w:right w:val="single" w:color="AABDD4" w:sz="1"/>
            </w:tcBorders>
            <w:shd w:fill="EDF3FA" w:val="clear"/>
            <w:tcMar>
              <w:top w:type="dxa" w:w="80"/>
              <w:left w:type="dxa" w:w="200"/>
              <w:bottom w:type="dxa" w:w="80"/>
              <w:right w:type="dxa" w:w="120"/>
            </w:tcMar>
          </w:tcPr>
          <w:p>
            <w:pPr>
              <w:spacing w:before="0" w:after="0"/>
              <w:jc w:val="left"/>
            </w:pPr>
            <w:r>
              <w:rPr>
                <w:rFonts w:ascii="Arial" w:cs="Arial" w:eastAsia="Arial" w:hAnsi="Arial"/>
                <w:b/>
                <w:bCs/>
                <w:color w:val="2E6DA4"/>
                <w:sz w:val="18"/>
                <w:szCs w:val="18"/>
              </w:rPr>
              <w:t xml:space="preserve">Mise à jour V6.2 — </w:t>
            </w:r>
            <w:r>
              <w:rPr>
                <w:rFonts w:ascii="Arial" w:cs="Arial" w:eastAsia="Arial" w:hAnsi="Arial"/>
                <w:color w:val="444444"/>
                <w:sz w:val="18"/>
                <w:szCs w:val="18"/>
              </w:rPr>
              <w:t xml:space="preserve">Ce document est la référence théorique de MEPA V6.0. Les corrections opérationnelles (seuils θ, intégrateur, nomenclature gamma) sont implémentées dans MEPA Lite V6.2 et mepa_runner_v2_gamma.py. Les chantiers V7 identifiés en §9 restent actifs. La trajectoire (f) Mutation dirigée est maintenue dans ce cadre théorique mais NON implémentée dans le pipeline V6.2 (décision Architecture Mars 2026 — chantier V7). L'Addendum Théorique V6.2 constitue la référence principale pour les questions de protocole inter-codeurs (CCI), de variable NC et de friction de raisonnement.</w:t>
            </w:r>
          </w:p>
        </w:tc>
      </w:tr>
    </w:tbl>
    <w:p>
      <w:pPr>
        <w:spacing w:before="0" w:after="0"/>
        <w:jc w:val="left"/>
      </w:pPr>
      <w:r>
        <w:rPr>
          <w:rFonts w:ascii="Arial" w:cs="Arial" w:eastAsia="Arial" w:hAnsi="Arial"/>
          <w:color w:val="444444"/>
          <w:sz w:val="20"/>
          <w:szCs w:val="20"/>
        </w:rPr>
        <w:t xml:space="preserve"/>
      </w:r>
    </w:p>
    <w:p>
      <w:pPr>
        <w:pStyle w:val="Heading1"/>
        <w:spacing w:before="280" w:after="100"/>
      </w:pPr>
      <w:r>
        <w:rPr>
          <w:rFonts w:ascii="Arial" w:cs="Arial" w:eastAsia="Arial" w:hAnsi="Arial"/>
          <w:b/>
          <w:bCs/>
          <w:color w:val="1B3A5C"/>
          <w:sz w:val="36"/>
          <w:szCs w:val="36"/>
        </w:rPr>
        <w:t xml:space="preserve">Glossaire des symboles — Convention de notation Version 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BDD4" w:sz="1"/>
              <w:left w:val="single" w:color="C47A1E" w:sz="6"/>
              <w:bottom w:val="single" w:color="AABDD4" w:sz="1"/>
              <w:right w:val="single" w:color="AABDD4" w:sz="1"/>
            </w:tcBorders>
            <w:shd w:fill="EDF3FA" w:val="clear"/>
            <w:tcMar>
              <w:top w:type="dxa" w:w="80"/>
              <w:left w:type="dxa" w:w="200"/>
              <w:bottom w:type="dxa" w:w="80"/>
              <w:right w:type="dxa" w:w="120"/>
            </w:tcMar>
          </w:tcPr>
          <w:p>
            <w:pPr>
              <w:spacing w:before="0" w:after="0"/>
              <w:jc w:val="left"/>
            </w:pPr>
            <w:r>
              <w:rPr>
                <w:rFonts w:ascii="Arial" w:cs="Arial" w:eastAsia="Arial" w:hAnsi="Arial"/>
                <w:b/>
                <w:bCs/>
                <w:color w:val="C47A1E"/>
                <w:sz w:val="18"/>
                <w:szCs w:val="18"/>
              </w:rPr>
              <w:t xml:space="preserve">Convention Version A — </w:t>
            </w:r>
            <w:r>
              <w:rPr>
                <w:rFonts w:ascii="Arial" w:cs="Arial" w:eastAsia="Arial" w:hAnsi="Arial"/>
                <w:color w:val="444444"/>
                <w:sz w:val="18"/>
                <w:szCs w:val="18"/>
              </w:rPr>
              <w:t xml:space="preserve">À la première occurrence dans chaque section, les variables sont présentées sous la forme : Terme en langage naturel (SYMBOLE). Exemple : « La fracture de l'élite (E_split) minimale empêche... ». Aux occurrences suivantes, le symbole seul est utilisé.</w:t>
            </w:r>
          </w:p>
        </w:tc>
      </w:tr>
    </w:tbl>
    <w:p>
      <w:pPr>
        <w:spacing w:before="0" w:after="0"/>
        <w:jc w:val="left"/>
      </w:pPr>
      <w:r>
        <w:rPr>
          <w:rFonts w:ascii="Arial" w:cs="Arial" w:eastAsia="Arial" w:hAnsi="Arial"/>
          <w:color w:val="444444"/>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rPr>
          <w:tblHeader/>
        </w:trPr>
        <w:tc>
          <w:tcPr>
            <w:tcW w:type="dxa" w:w="1400"/>
            <w:tcBorders>
              <w:top w:val="single" w:color="AABDD4" w:sz="1"/>
              <w:left w:val="single" w:color="AABDD4" w:sz="1"/>
              <w:bottom w:val="single" w:color="AABDD4" w:sz="1"/>
              <w:right w:val="single" w:color="AABDD4" w:sz="1"/>
            </w:tcBorders>
            <w:shd w:fill="D5E8F0" w:val="clear"/>
            <w:tcMar>
              <w:top w:type="dxa" w:w="80"/>
              <w:left w:type="dxa" w:w="120"/>
              <w:bottom w:type="dxa" w:w="80"/>
              <w:right w:type="dxa" w:w="120"/>
            </w:tcMar>
          </w:tcPr>
          <w:p>
            <w:r>
              <w:rPr>
                <w:rFonts w:ascii="Arial" w:cs="Arial" w:eastAsia="Arial" w:hAnsi="Arial"/>
                <w:b/>
                <w:bCs/>
                <w:color w:val="1B3A5C"/>
                <w:sz w:val="18"/>
                <w:szCs w:val="18"/>
              </w:rPr>
              <w:t xml:space="preserve">Symbole</w:t>
            </w:r>
          </w:p>
        </w:tc>
        <w:tc>
          <w:tcPr>
            <w:tcW w:type="dxa" w:w="7626"/>
            <w:tcBorders>
              <w:top w:val="single" w:color="AABDD4" w:sz="1"/>
              <w:left w:val="single" w:color="AABDD4" w:sz="1"/>
              <w:bottom w:val="single" w:color="AABDD4" w:sz="1"/>
              <w:right w:val="single" w:color="AABDD4" w:sz="1"/>
            </w:tcBorders>
            <w:shd w:fill="D5E8F0" w:val="clear"/>
            <w:tcMar>
              <w:top w:type="dxa" w:w="80"/>
              <w:left w:type="dxa" w:w="120"/>
              <w:bottom w:type="dxa" w:w="80"/>
              <w:right w:type="dxa" w:w="120"/>
            </w:tcMar>
          </w:tcPr>
          <w:p>
            <w:r>
              <w:rPr>
                <w:rFonts w:ascii="Arial" w:cs="Arial" w:eastAsia="Arial" w:hAnsi="Arial"/>
                <w:b/>
                <w:bCs/>
                <w:color w:val="1B3A5C"/>
                <w:sz w:val="18"/>
                <w:szCs w:val="18"/>
              </w:rPr>
              <w:t xml:space="preserve">Terme en langage naturel</w:t>
            </w:r>
          </w:p>
        </w:tc>
      </w:tr>
      <w:tr>
        <w:tc>
          <w:tcPr>
            <w:tcW w:type="dxa" w:w="14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Courier New" w:cs="Courier New" w:eastAsia="Courier New" w:hAnsi="Courier New"/>
                <w:color w:val="1B3A5C"/>
                <w:sz w:val="18"/>
                <w:szCs w:val="18"/>
              </w:rPr>
              <w:t xml:space="preserve">E_split</w:t>
            </w:r>
          </w:p>
        </w:tc>
        <w:tc>
          <w:tcPr>
            <w:tcW w:type="dxa" w:w="7626"/>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Fracture de l'élite</w:t>
            </w:r>
          </w:p>
        </w:tc>
      </w:tr>
      <w:tr>
        <w:tc>
          <w:tcPr>
            <w:tcW w:type="dxa" w:w="14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Courier New" w:cs="Courier New" w:eastAsia="Courier New" w:hAnsi="Courier New"/>
                <w:color w:val="1B3A5C"/>
                <w:sz w:val="18"/>
                <w:szCs w:val="18"/>
              </w:rPr>
              <w:t xml:space="preserve">H_ind / L</w:t>
            </w:r>
          </w:p>
        </w:tc>
        <w:tc>
          <w:tcPr>
            <w:tcW w:type="dxa" w:w="7626"/>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20"/>
                <w:szCs w:val="20"/>
              </w:rPr>
              <w:t xml:space="preserve">Chaleur individuelle latente (H_ind dans MEPA Full → L dans MEPA Lite)</w:t>
            </w:r>
          </w:p>
        </w:tc>
      </w:tr>
      <w:tr>
        <w:tc>
          <w:tcPr>
            <w:tcW w:type="dxa" w:w="14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Courier New" w:cs="Courier New" w:eastAsia="Courier New" w:hAnsi="Courier New"/>
                <w:color w:val="1B3A5C"/>
                <w:sz w:val="18"/>
                <w:szCs w:val="18"/>
              </w:rPr>
              <w:t xml:space="preserve">H_col / C</w:t>
            </w:r>
          </w:p>
        </w:tc>
        <w:tc>
          <w:tcPr>
            <w:tcW w:type="dxa" w:w="7626"/>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Chaleur collective (H_col dans MEPA Full → C dans MEPA Lite)</w:t>
            </w:r>
          </w:p>
        </w:tc>
      </w:tr>
      <w:tr>
        <w:tc>
          <w:tcPr>
            <w:tcW w:type="dxa" w:w="14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Courier New" w:cs="Courier New" w:eastAsia="Courier New" w:hAnsi="Courier New"/>
                <w:color w:val="1B3A5C"/>
                <w:sz w:val="18"/>
                <w:szCs w:val="18"/>
              </w:rPr>
              <w:t xml:space="preserve">V_ind</w:t>
            </w:r>
          </w:p>
        </w:tc>
        <w:tc>
          <w:tcPr>
            <w:tcW w:type="dxa" w:w="7626"/>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20"/>
                <w:szCs w:val="20"/>
              </w:rPr>
              <w:t xml:space="preserve">Répertoire des représentations</w:t>
            </w:r>
          </w:p>
        </w:tc>
      </w:tr>
      <w:tr>
        <w:tc>
          <w:tcPr>
            <w:tcW w:type="dxa" w:w="14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Courier New" w:cs="Courier New" w:eastAsia="Courier New" w:hAnsi="Courier New"/>
                <w:color w:val="1B3A5C"/>
                <w:sz w:val="18"/>
                <w:szCs w:val="18"/>
              </w:rPr>
              <w:t xml:space="preserve">V_col</w:t>
            </w:r>
          </w:p>
        </w:tc>
        <w:tc>
          <w:tcPr>
            <w:tcW w:type="dxa" w:w="7626"/>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Volume collectif mobilisé</w:t>
            </w:r>
          </w:p>
        </w:tc>
      </w:tr>
      <w:tr>
        <w:tc>
          <w:tcPr>
            <w:tcW w:type="dxa" w:w="14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Courier New" w:cs="Courier New" w:eastAsia="Courier New" w:hAnsi="Courier New"/>
                <w:color w:val="1B3A5C"/>
                <w:sz w:val="18"/>
                <w:szCs w:val="18"/>
              </w:rPr>
              <w:t xml:space="preserve">μs / S</w:t>
            </w:r>
          </w:p>
        </w:tc>
        <w:tc>
          <w:tcPr>
            <w:tcW w:type="dxa" w:w="7626"/>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20"/>
                <w:szCs w:val="20"/>
              </w:rPr>
              <w:t xml:space="preserve">Pression sociale (μs dans MEPA Full → S dans MEPA Lite)</w:t>
            </w:r>
          </w:p>
        </w:tc>
      </w:tr>
      <w:tr>
        <w:tc>
          <w:tcPr>
            <w:tcW w:type="dxa" w:w="14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Courier New" w:cs="Courier New" w:eastAsia="Courier New" w:hAnsi="Courier New"/>
                <w:color w:val="1B3A5C"/>
                <w:sz w:val="18"/>
                <w:szCs w:val="18"/>
              </w:rPr>
              <w:t xml:space="preserve">D_inst / I</w:t>
            </w:r>
          </w:p>
        </w:tc>
        <w:tc>
          <w:tcPr>
            <w:tcW w:type="dxa" w:w="7626"/>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Complexité institutionnelle dynamique (D_inst → I dans MEPA Lite)</w:t>
            </w:r>
          </w:p>
        </w:tc>
      </w:tr>
      <w:tr>
        <w:tc>
          <w:tcPr>
            <w:tcW w:type="dxa" w:w="14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Courier New" w:cs="Courier New" w:eastAsia="Courier New" w:hAnsi="Courier New"/>
                <w:color w:val="1B3A5C"/>
                <w:sz w:val="18"/>
                <w:szCs w:val="18"/>
              </w:rPr>
              <w:t xml:space="preserve">A_c</w:t>
            </w:r>
          </w:p>
        </w:tc>
        <w:tc>
          <w:tcPr>
            <w:tcW w:type="dxa" w:w="7626"/>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20"/>
                <w:szCs w:val="20"/>
              </w:rPr>
              <w:t xml:space="preserve">Conformation idéologique</w:t>
            </w:r>
          </w:p>
        </w:tc>
      </w:tr>
      <w:tr>
        <w:tc>
          <w:tcPr>
            <w:tcW w:type="dxa" w:w="14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Courier New" w:cs="Courier New" w:eastAsia="Courier New" w:hAnsi="Courier New"/>
                <w:color w:val="1B3A5C"/>
                <w:sz w:val="18"/>
                <w:szCs w:val="18"/>
              </w:rPr>
              <w:t xml:space="preserve">A_r_c</w:t>
            </w:r>
          </w:p>
        </w:tc>
        <w:tc>
          <w:tcPr>
            <w:tcW w:type="dxa" w:w="7626"/>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Répression classique</w:t>
            </w:r>
          </w:p>
        </w:tc>
      </w:tr>
      <w:tr>
        <w:tc>
          <w:tcPr>
            <w:tcW w:type="dxa" w:w="14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Courier New" w:cs="Courier New" w:eastAsia="Courier New" w:hAnsi="Courier New"/>
                <w:color w:val="1B3A5C"/>
                <w:sz w:val="18"/>
                <w:szCs w:val="18"/>
              </w:rPr>
              <w:t xml:space="preserve">A_r_ne</w:t>
            </w:r>
          </w:p>
        </w:tc>
        <w:tc>
          <w:tcPr>
            <w:tcW w:type="dxa" w:w="7626"/>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20"/>
                <w:szCs w:val="20"/>
              </w:rPr>
              <w:t xml:space="preserve">Répression numérique</w:t>
            </w:r>
          </w:p>
        </w:tc>
      </w:tr>
      <w:tr>
        <w:tc>
          <w:tcPr>
            <w:tcW w:type="dxa" w:w="14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Courier New" w:cs="Courier New" w:eastAsia="Courier New" w:hAnsi="Courier New"/>
                <w:color w:val="1B3A5C"/>
                <w:sz w:val="18"/>
                <w:szCs w:val="18"/>
              </w:rPr>
              <w:t xml:space="preserve">A_i</w:t>
            </w:r>
          </w:p>
        </w:tc>
        <w:tc>
          <w:tcPr>
            <w:tcW w:type="dxa" w:w="7626"/>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Réforme institutionnelle</w:t>
            </w:r>
          </w:p>
        </w:tc>
      </w:tr>
      <w:tr>
        <w:tc>
          <w:tcPr>
            <w:tcW w:type="dxa" w:w="14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Courier New" w:cs="Courier New" w:eastAsia="Courier New" w:hAnsi="Courier New"/>
                <w:color w:val="1B3A5C"/>
                <w:sz w:val="18"/>
                <w:szCs w:val="18"/>
              </w:rPr>
              <w:t xml:space="preserve">A_d_eff</w:t>
            </w:r>
          </w:p>
        </w:tc>
        <w:tc>
          <w:tcPr>
            <w:tcW w:type="dxa" w:w="7626"/>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20"/>
                <w:szCs w:val="20"/>
              </w:rPr>
              <w:t xml:space="preserve">Capacité redistributive effective</w:t>
            </w:r>
          </w:p>
        </w:tc>
      </w:tr>
      <w:tr>
        <w:tc>
          <w:tcPr>
            <w:tcW w:type="dxa" w:w="14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Courier New" w:cs="Courier New" w:eastAsia="Courier New" w:hAnsi="Courier New"/>
                <w:color w:val="1B3A5C"/>
                <w:sz w:val="18"/>
                <w:szCs w:val="18"/>
              </w:rPr>
              <w:t xml:space="preserve">A_d_max</w:t>
            </w:r>
          </w:p>
        </w:tc>
        <w:tc>
          <w:tcPr>
            <w:tcW w:type="dxa" w:w="7626"/>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Plafond redistributif</w:t>
            </w:r>
          </w:p>
        </w:tc>
      </w:tr>
      <w:tr>
        <w:tc>
          <w:tcPr>
            <w:tcW w:type="dxa" w:w="14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Courier New" w:cs="Courier New" w:eastAsia="Courier New" w:hAnsi="Courier New"/>
                <w:color w:val="1B3A5C"/>
                <w:sz w:val="18"/>
                <w:szCs w:val="18"/>
              </w:rPr>
              <w:t xml:space="preserve">Cs</w:t>
            </w:r>
          </w:p>
        </w:tc>
        <w:tc>
          <w:tcPr>
            <w:tcW w:type="dxa" w:w="7626"/>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20"/>
                <w:szCs w:val="20"/>
              </w:rPr>
              <w:t xml:space="preserve">Crédibilité du régime</w:t>
            </w:r>
          </w:p>
        </w:tc>
      </w:tr>
      <w:tr>
        <w:tc>
          <w:tcPr>
            <w:tcW w:type="dxa" w:w="14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Courier New" w:cs="Courier New" w:eastAsia="Courier New" w:hAnsi="Courier New"/>
                <w:color w:val="1B3A5C"/>
                <w:sz w:val="18"/>
                <w:szCs w:val="18"/>
              </w:rPr>
              <w:t xml:space="preserve">L(t)</w:t>
            </w:r>
          </w:p>
        </w:tc>
        <w:tc>
          <w:tcPr>
            <w:tcW w:type="dxa" w:w="7626"/>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Loyauté des appareils</w:t>
            </w:r>
          </w:p>
        </w:tc>
      </w:tr>
      <w:tr>
        <w:tc>
          <w:tcPr>
            <w:tcW w:type="dxa" w:w="14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Courier New" w:cs="Courier New" w:eastAsia="Courier New" w:hAnsi="Courier New"/>
                <w:color w:val="1B3A5C"/>
                <w:sz w:val="18"/>
                <w:szCs w:val="18"/>
              </w:rPr>
              <w:t xml:space="preserve">Ω</w:t>
            </w:r>
          </w:p>
        </w:tc>
        <w:tc>
          <w:tcPr>
            <w:tcW w:type="dxa" w:w="7626"/>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20"/>
                <w:szCs w:val="20"/>
              </w:rPr>
              <w:t xml:space="preserve">Complexité institutionnelle</w:t>
            </w:r>
          </w:p>
        </w:tc>
      </w:tr>
      <w:tr>
        <w:tc>
          <w:tcPr>
            <w:tcW w:type="dxa" w:w="14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Courier New" w:cs="Courier New" w:eastAsia="Courier New" w:hAnsi="Courier New"/>
                <w:color w:val="1B3A5C"/>
                <w:sz w:val="18"/>
                <w:szCs w:val="18"/>
              </w:rPr>
              <w:t xml:space="preserve">F(t)</w:t>
            </w:r>
          </w:p>
        </w:tc>
        <w:tc>
          <w:tcPr>
            <w:tcW w:type="dxa" w:w="7626"/>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Force transformatrice</w:t>
            </w:r>
          </w:p>
        </w:tc>
      </w:tr>
      <w:tr>
        <w:tc>
          <w:tcPr>
            <w:tcW w:type="dxa" w:w="14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Courier New" w:cs="Courier New" w:eastAsia="Courier New" w:hAnsi="Courier New"/>
                <w:color w:val="1B3A5C"/>
                <w:sz w:val="18"/>
                <w:szCs w:val="18"/>
              </w:rPr>
              <w:t xml:space="preserve">R(t)</w:t>
            </w:r>
          </w:p>
        </w:tc>
        <w:tc>
          <w:tcPr>
            <w:tcW w:type="dxa" w:w="7626"/>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20"/>
                <w:szCs w:val="20"/>
              </w:rPr>
              <w:t xml:space="preserve">Résistance du système</w:t>
            </w:r>
          </w:p>
        </w:tc>
      </w:tr>
      <w:tr>
        <w:tc>
          <w:tcPr>
            <w:tcW w:type="dxa" w:w="14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Courier New" w:cs="Courier New" w:eastAsia="Courier New" w:hAnsi="Courier New"/>
                <w:color w:val="1B3A5C"/>
                <w:sz w:val="18"/>
                <w:szCs w:val="18"/>
              </w:rPr>
              <w:t xml:space="preserve">R_stat</w:t>
            </w:r>
          </w:p>
        </w:tc>
        <w:tc>
          <w:tcPr>
            <w:tcW w:type="dxa" w:w="7626"/>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Résistance passive</w:t>
            </w:r>
          </w:p>
        </w:tc>
      </w:tr>
      <w:tr>
        <w:tc>
          <w:tcPr>
            <w:tcW w:type="dxa" w:w="14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Courier New" w:cs="Courier New" w:eastAsia="Courier New" w:hAnsi="Courier New"/>
                <w:color w:val="1B3A5C"/>
                <w:sz w:val="18"/>
                <w:szCs w:val="18"/>
              </w:rPr>
              <w:t xml:space="preserve">R_dyn</w:t>
            </w:r>
          </w:p>
        </w:tc>
        <w:tc>
          <w:tcPr>
            <w:tcW w:type="dxa" w:w="7626"/>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20"/>
                <w:szCs w:val="20"/>
              </w:rPr>
              <w:t xml:space="preserve">Résistance active</w:t>
            </w:r>
          </w:p>
        </w:tc>
      </w:tr>
      <w:tr>
        <w:tc>
          <w:tcPr>
            <w:tcW w:type="dxa" w:w="14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Courier New" w:cs="Courier New" w:eastAsia="Courier New" w:hAnsi="Courier New"/>
                <w:color w:val="1B3A5C"/>
                <w:sz w:val="18"/>
                <w:szCs w:val="18"/>
              </w:rPr>
              <w:t xml:space="preserve">γ</w:t>
            </w:r>
          </w:p>
        </w:tc>
        <w:tc>
          <w:tcPr>
            <w:tcW w:type="dxa" w:w="7626"/>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Capacité organisationnelle de l'élite (clé JSON : gamma — décision D6 V6.2)</w:t>
            </w:r>
          </w:p>
        </w:tc>
      </w:tr>
      <w:tr>
        <w:tc>
          <w:tcPr>
            <w:tcW w:type="dxa" w:w="14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Courier New" w:cs="Courier New" w:eastAsia="Courier New" w:hAnsi="Courier New"/>
                <w:color w:val="1B3A5C"/>
                <w:sz w:val="18"/>
                <w:szCs w:val="18"/>
              </w:rPr>
              <w:t xml:space="preserve">Sa</w:t>
            </w:r>
          </w:p>
        </w:tc>
        <w:tc>
          <w:tcPr>
            <w:tcW w:type="dxa" w:w="7626"/>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20"/>
                <w:szCs w:val="20"/>
              </w:rPr>
              <w:t xml:space="preserve">Structure anthropologique de base (Todd)</w:t>
            </w:r>
          </w:p>
        </w:tc>
      </w:tr>
      <w:tr>
        <w:tc>
          <w:tcPr>
            <w:tcW w:type="dxa" w:w="14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Courier New" w:cs="Courier New" w:eastAsia="Courier New" w:hAnsi="Courier New"/>
                <w:color w:val="1B3A5C"/>
                <w:sz w:val="18"/>
                <w:szCs w:val="18"/>
              </w:rPr>
              <w:t xml:space="preserve">EROI</w:t>
            </w:r>
          </w:p>
        </w:tc>
        <w:tc>
          <w:tcPr>
            <w:tcW w:type="dxa" w:w="7626"/>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Rendement énergétique</w:t>
            </w:r>
          </w:p>
        </w:tc>
      </w:tr>
      <w:tr>
        <w:tc>
          <w:tcPr>
            <w:tcW w:type="dxa" w:w="14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Courier New" w:cs="Courier New" w:eastAsia="Courier New" w:hAnsi="Courier New"/>
                <w:color w:val="1B3A5C"/>
                <w:sz w:val="18"/>
                <w:szCs w:val="18"/>
              </w:rPr>
              <w:t xml:space="preserve">ΔTech</w:t>
            </w:r>
          </w:p>
        </w:tc>
        <w:tc>
          <w:tcPr>
            <w:tcW w:type="dxa" w:w="7626"/>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20"/>
                <w:szCs w:val="20"/>
              </w:rPr>
              <w:t xml:space="preserve">Latence technologique</w:t>
            </w:r>
          </w:p>
        </w:tc>
      </w:tr>
    </w:tbl>
    <w:p>
      <w:pPr>
        <w:spacing w:before="0" w:after="0"/>
        <w:jc w:val="left"/>
      </w:pPr>
      <w:r>
        <w:rPr>
          <w:rFonts w:ascii="Arial" w:cs="Arial" w:eastAsia="Arial" w:hAnsi="Arial"/>
          <w:color w:val="444444"/>
          <w:sz w:val="20"/>
          <w:szCs w:val="20"/>
        </w:rPr>
        <w:t xml:space="preserve"/>
      </w:r>
    </w:p>
    <w:p>
      <w:pPr>
        <w:pStyle w:val="Heading1"/>
        <w:spacing w:before="280" w:after="100"/>
      </w:pPr>
      <w:r>
        <w:rPr>
          <w:rFonts w:ascii="Arial" w:cs="Arial" w:eastAsia="Arial" w:hAnsi="Arial"/>
          <w:b/>
          <w:bCs/>
          <w:color w:val="1B3A5C"/>
          <w:sz w:val="36"/>
          <w:szCs w:val="36"/>
        </w:rPr>
        <w:t xml:space="preserve">Résumé exécutif</w:t>
      </w:r>
    </w:p>
    <w:p>
      <w:pPr>
        <w:spacing w:before="60" w:after="60"/>
        <w:jc w:val="left"/>
      </w:pPr>
      <w:r>
        <w:rPr>
          <w:rFonts w:ascii="Arial" w:cs="Arial" w:eastAsia="Arial" w:hAnsi="Arial"/>
          <w:color w:val="444444"/>
          <w:sz w:val="20"/>
          <w:szCs w:val="20"/>
        </w:rPr>
        <w:t xml:space="preserve">MEPA est un modèle de dynamique institutionnelle non linéaire semi-formel. Il formalise les conditions de transformation des systèmes politiques par un système de huit équations couplées reliant les variables biophysiques — rendement énergétique (EROI), plafond redistributif (A_d_max) —, sociales — chaleur individuelle latente (H_ind), cristallisation, loyauté des appareils (L(t)) — et institutionnelles — résistance du système (R(t)), crédibilité du régime (Cs), répression numérique (A_r_ne). La condition centrale est F(t) &gt; R(t) : la transformation institutionnelle intervient quand la force transformatrice dépasse la résistance du système.</w:t>
      </w:r>
    </w:p>
    <w:p>
      <w:pPr>
        <w:spacing w:before="0" w:after="0"/>
        <w:jc w:val="left"/>
      </w:pPr>
      <w:r>
        <w:rPr>
          <w:rFonts w:ascii="Arial" w:cs="Arial" w:eastAsia="Arial" w:hAnsi="Arial"/>
          <w:color w:val="444444"/>
          <w:sz w:val="20"/>
          <w:szCs w:val="20"/>
        </w:rPr>
        <w:t xml:space="preserve"/>
      </w:r>
    </w:p>
    <w:p>
      <w:pPr>
        <w:spacing w:before="60" w:after="60"/>
        <w:jc w:val="left"/>
      </w:pPr>
      <w:r>
        <w:rPr>
          <w:rFonts w:ascii="Arial" w:cs="Arial" w:eastAsia="Arial" w:hAnsi="Arial"/>
          <w:color w:val="444444"/>
          <w:sz w:val="20"/>
          <w:szCs w:val="20"/>
        </w:rPr>
        <w:t xml:space="preserve">La V6.0 opère trois évolutions majeures par rapport à la V5.3 : (1) l'intégration de la capacité organisationnelle de l'élite (γ) dans l'équation de la force transformatrice ; (2) l'architecture des Working Papers restructurée autour de 5 Clusters de stress-test ; (3) cinq prédictions falsifiables explicites au sens de Popper avec conditions d'observation et horizons temporels précis.</w:t>
      </w:r>
    </w:p>
    <w:p>
      <w:pPr>
        <w:spacing w:before="0" w:after="0"/>
        <w:jc w:val="left"/>
      </w:pPr>
      <w:r>
        <w:rPr>
          <w:rFonts w:ascii="Arial" w:cs="Arial" w:eastAsia="Arial" w:hAnsi="Arial"/>
          <w:color w:val="444444"/>
          <w:sz w:val="20"/>
          <w:szCs w:val="20"/>
        </w:rPr>
        <w:t xml:space="preserve"/>
      </w:r>
    </w:p>
    <w:p>
      <w:r>
        <w:br w:type="page"/>
      </w:r>
    </w:p>
    <w:p>
      <w:pPr>
        <w:pStyle w:val="Heading1"/>
        <w:spacing w:before="280" w:after="100"/>
      </w:pPr>
      <w:r>
        <w:rPr>
          <w:rFonts w:ascii="Arial" w:cs="Arial" w:eastAsia="Arial" w:hAnsi="Arial"/>
          <w:b/>
          <w:bCs/>
          <w:color w:val="1B3A5C"/>
          <w:sz w:val="36"/>
          <w:szCs w:val="36"/>
        </w:rPr>
        <w:t xml:space="preserve">1. Positionnement épistémologique</w:t>
      </w:r>
    </w:p>
    <w:p>
      <w:pPr>
        <w:pStyle w:val="Heading2"/>
        <w:spacing w:before="220" w:after="80"/>
      </w:pPr>
      <w:r>
        <w:rPr>
          <w:rFonts w:ascii="Arial" w:cs="Arial" w:eastAsia="Arial" w:hAnsi="Arial"/>
          <w:b/>
          <w:bCs/>
          <w:color w:val="2E6DA4"/>
          <w:sz w:val="28"/>
          <w:szCs w:val="28"/>
        </w:rPr>
        <w:t xml:space="preserve">1.1 Nature du modèle</w:t>
      </w:r>
    </w:p>
    <w:p>
      <w:pPr>
        <w:spacing w:before="60" w:after="60"/>
        <w:jc w:val="left"/>
      </w:pPr>
      <w:r>
        <w:rPr>
          <w:rFonts w:ascii="Arial" w:cs="Arial" w:eastAsia="Arial" w:hAnsi="Arial"/>
          <w:color w:val="444444"/>
          <w:sz w:val="20"/>
          <w:szCs w:val="20"/>
        </w:rPr>
        <w:t xml:space="preserve">MEPA est un modèle de dynamique institutionnelle non linéaire semi-formel. Il repose sur une analogie structurelle avec la mécanique et la thermodynamique des systèmes complexes — non sur une causalité matérielle. L'usage des termes chaleur individuelle latente (H_ind), friction, cristallisation et résistance du système constitue un vocabulaire formel de modélisation, non une affirmation physicaliste.</w:t>
      </w:r>
    </w:p>
    <w:p>
      <w:pPr>
        <w:spacing w:before="0" w:after="0"/>
        <w:jc w:val="left"/>
      </w:pPr>
      <w:r>
        <w:rPr>
          <w:rFonts w:ascii="Arial" w:cs="Arial" w:eastAsia="Arial" w:hAnsi="Arial"/>
          <w:color w:val="444444"/>
          <w:sz w:val="20"/>
          <w:szCs w:val="20"/>
        </w:rPr>
        <w:t xml:space="preserve"/>
      </w:r>
    </w:p>
    <w:p>
      <w:pPr>
        <w:spacing w:before="60" w:after="60"/>
        <w:jc w:val="left"/>
      </w:pPr>
      <w:r>
        <w:rPr>
          <w:rFonts w:ascii="Arial" w:cs="Arial" w:eastAsia="Arial" w:hAnsi="Arial"/>
          <w:color w:val="444444"/>
          <w:sz w:val="20"/>
          <w:szCs w:val="20"/>
        </w:rPr>
        <w:t xml:space="preserve">Le modèle se rattache à quatre traditions : la cliodynamique (Turchin), la théorie de l'effondrement par complexité (Tainter), l'anthropologie structurale (Todd) et l'écologie politique biophysique (EROI comme contrainte sur A_d_eff).</w:t>
      </w:r>
    </w:p>
    <w:p>
      <w:pPr>
        <w:spacing w:before="0" w:after="0"/>
        <w:jc w:val="left"/>
      </w:pPr>
      <w:r>
        <w:rPr>
          <w:rFonts w:ascii="Arial" w:cs="Arial" w:eastAsia="Arial" w:hAnsi="Arial"/>
          <w:color w:val="444444"/>
          <w:sz w:val="20"/>
          <w:szCs w:val="20"/>
        </w:rPr>
        <w:t xml:space="preserve"/>
      </w:r>
    </w:p>
    <w:p>
      <w:pPr>
        <w:pStyle w:val="Heading2"/>
        <w:spacing w:before="220" w:after="80"/>
      </w:pPr>
      <w:r>
        <w:rPr>
          <w:rFonts w:ascii="Arial" w:cs="Arial" w:eastAsia="Arial" w:hAnsi="Arial"/>
          <w:b/>
          <w:bCs/>
          <w:color w:val="2E6DA4"/>
          <w:sz w:val="28"/>
          <w:szCs w:val="28"/>
        </w:rPr>
        <w:t xml:space="preserve">1.2 Ce que le modèle prédit et ne prédit pas</w:t>
      </w:r>
    </w:p>
    <w:p>
      <w:pPr>
        <w:spacing w:before="60" w:after="60"/>
        <w:jc w:val="left"/>
      </w:pPr>
      <w:r>
        <w:rPr>
          <w:rFonts w:ascii="Arial" w:cs="Arial" w:eastAsia="Arial" w:hAnsi="Arial"/>
          <w:color w:val="444444"/>
          <w:sz w:val="20"/>
          <w:szCs w:val="20"/>
        </w:rPr>
        <w:t xml:space="preserve">MEPA prédit des trajectoires institutionnelles qualitatives et les conditions de basculement entre elles. Il ne prédit pas la date précise d'une révolution, le nombre de victimes, ni l'issue d'un scrutin particulier. La condition F(t) &gt; R(t) identifie une fenêtre de vulnérabilité, non un déclencheur déterministe.</w:t>
      </w:r>
    </w:p>
    <w:p>
      <w:pPr>
        <w:spacing w:before="0" w:after="0"/>
        <w:jc w:val="left"/>
      </w:pPr>
      <w:r>
        <w:rPr>
          <w:rFonts w:ascii="Arial" w:cs="Arial" w:eastAsia="Arial" w:hAnsi="Arial"/>
          <w:color w:val="444444"/>
          <w:sz w:val="20"/>
          <w:szCs w:val="20"/>
        </w:rPr>
        <w:t xml:space="preserve"/>
      </w:r>
    </w:p>
    <w:p>
      <w:pPr>
        <w:spacing w:before="60" w:after="60"/>
        <w:jc w:val="left"/>
      </w:pPr>
      <w:r>
        <w:rPr>
          <w:rFonts w:ascii="Arial" w:cs="Arial" w:eastAsia="Arial" w:hAnsi="Arial"/>
          <w:color w:val="444444"/>
          <w:sz w:val="20"/>
          <w:szCs w:val="20"/>
        </w:rPr>
        <w:t xml:space="preserve">L'horizon de prédiction fiable est de l'ordre de la décennie pour les trajectoires structurelles, et de l'ordre de l'année pour les trajectoires événementielles.</w:t>
      </w:r>
    </w:p>
    <w:p>
      <w:pPr>
        <w:spacing w:before="0" w:after="0"/>
        <w:jc w:val="left"/>
      </w:pPr>
      <w:r>
        <w:rPr>
          <w:rFonts w:ascii="Arial" w:cs="Arial" w:eastAsia="Arial" w:hAnsi="Arial"/>
          <w:color w:val="444444"/>
          <w:sz w:val="20"/>
          <w:szCs w:val="20"/>
        </w:rPr>
        <w:t xml:space="preserve"/>
      </w:r>
    </w:p>
    <w:p>
      <w:r>
        <w:br w:type="page"/>
      </w:r>
    </w:p>
    <w:p>
      <w:pPr>
        <w:pStyle w:val="Heading1"/>
        <w:spacing w:before="280" w:after="100"/>
      </w:pPr>
      <w:r>
        <w:rPr>
          <w:rFonts w:ascii="Arial" w:cs="Arial" w:eastAsia="Arial" w:hAnsi="Arial"/>
          <w:b/>
          <w:bCs/>
          <w:color w:val="1B3A5C"/>
          <w:sz w:val="36"/>
          <w:szCs w:val="36"/>
        </w:rPr>
        <w:t xml:space="preserve">2. Variables et architecture du modèle</w:t>
      </w:r>
    </w:p>
    <w:p>
      <w:pPr>
        <w:pStyle w:val="Heading2"/>
        <w:spacing w:before="220" w:after="80"/>
      </w:pPr>
      <w:r>
        <w:rPr>
          <w:rFonts w:ascii="Arial" w:cs="Arial" w:eastAsia="Arial" w:hAnsi="Arial"/>
          <w:b/>
          <w:bCs/>
          <w:color w:val="2E6DA4"/>
          <w:sz w:val="28"/>
          <w:szCs w:val="28"/>
        </w:rPr>
        <w:t xml:space="preserve">2.1 Tableau des variables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1200"/>
        <w:gridCol w:w="1200"/>
        <w:gridCol w:w="3726"/>
      </w:tblGrid>
      <w:tr>
        <w:trPr>
          <w:tblHeader/>
        </w:trPr>
        <w:tc>
          <w:tcPr>
            <w:tcW w:type="dxa" w:w="900"/>
            <w:tcBorders>
              <w:top w:val="single" w:color="AABDD4" w:sz="1"/>
              <w:left w:val="single" w:color="AABDD4" w:sz="1"/>
              <w:bottom w:val="single" w:color="AABDD4" w:sz="1"/>
              <w:right w:val="single" w:color="AABDD4" w:sz="1"/>
            </w:tcBorders>
            <w:shd w:fill="D5E8F0" w:val="clear"/>
            <w:tcMar>
              <w:top w:type="dxa" w:w="80"/>
              <w:left w:type="dxa" w:w="120"/>
              <w:bottom w:type="dxa" w:w="80"/>
              <w:right w:type="dxa" w:w="120"/>
            </w:tcMar>
          </w:tcPr>
          <w:p>
            <w:r>
              <w:rPr>
                <w:rFonts w:ascii="Arial" w:cs="Arial" w:eastAsia="Arial" w:hAnsi="Arial"/>
                <w:b/>
                <w:bCs/>
                <w:color w:val="1B3A5C"/>
                <w:sz w:val="18"/>
                <w:szCs w:val="18"/>
              </w:rPr>
              <w:t xml:space="preserve">Symbole</w:t>
            </w:r>
          </w:p>
        </w:tc>
        <w:tc>
          <w:tcPr>
            <w:tcW w:type="dxa" w:w="2000"/>
            <w:tcBorders>
              <w:top w:val="single" w:color="AABDD4" w:sz="1"/>
              <w:left w:val="single" w:color="AABDD4" w:sz="1"/>
              <w:bottom w:val="single" w:color="AABDD4" w:sz="1"/>
              <w:right w:val="single" w:color="AABDD4" w:sz="1"/>
            </w:tcBorders>
            <w:shd w:fill="D5E8F0" w:val="clear"/>
            <w:tcMar>
              <w:top w:type="dxa" w:w="80"/>
              <w:left w:type="dxa" w:w="120"/>
              <w:bottom w:type="dxa" w:w="80"/>
              <w:right w:type="dxa" w:w="120"/>
            </w:tcMar>
          </w:tcPr>
          <w:p>
            <w:r>
              <w:rPr>
                <w:rFonts w:ascii="Arial" w:cs="Arial" w:eastAsia="Arial" w:hAnsi="Arial"/>
                <w:b/>
                <w:bCs/>
                <w:color w:val="1B3A5C"/>
                <w:sz w:val="18"/>
                <w:szCs w:val="18"/>
              </w:rPr>
              <w:t xml:space="preserve">Terme naturel</w:t>
            </w:r>
          </w:p>
        </w:tc>
        <w:tc>
          <w:tcPr>
            <w:tcW w:type="dxa" w:w="1200"/>
            <w:tcBorders>
              <w:top w:val="single" w:color="AABDD4" w:sz="1"/>
              <w:left w:val="single" w:color="AABDD4" w:sz="1"/>
              <w:bottom w:val="single" w:color="AABDD4" w:sz="1"/>
              <w:right w:val="single" w:color="AABDD4" w:sz="1"/>
            </w:tcBorders>
            <w:shd w:fill="D5E8F0" w:val="clear"/>
            <w:tcMar>
              <w:top w:type="dxa" w:w="80"/>
              <w:left w:type="dxa" w:w="120"/>
              <w:bottom w:type="dxa" w:w="80"/>
              <w:right w:type="dxa" w:w="120"/>
            </w:tcMar>
          </w:tcPr>
          <w:p>
            <w:r>
              <w:rPr>
                <w:rFonts w:ascii="Arial" w:cs="Arial" w:eastAsia="Arial" w:hAnsi="Arial"/>
                <w:b/>
                <w:bCs/>
                <w:color w:val="1B3A5C"/>
                <w:sz w:val="18"/>
                <w:szCs w:val="18"/>
              </w:rPr>
              <w:t xml:space="preserve">Type</w:t>
            </w:r>
          </w:p>
        </w:tc>
        <w:tc>
          <w:tcPr>
            <w:tcW w:type="dxa" w:w="1200"/>
            <w:tcBorders>
              <w:top w:val="single" w:color="AABDD4" w:sz="1"/>
              <w:left w:val="single" w:color="AABDD4" w:sz="1"/>
              <w:bottom w:val="single" w:color="AABDD4" w:sz="1"/>
              <w:right w:val="single" w:color="AABDD4" w:sz="1"/>
            </w:tcBorders>
            <w:shd w:fill="D5E8F0" w:val="clear"/>
            <w:tcMar>
              <w:top w:type="dxa" w:w="80"/>
              <w:left w:type="dxa" w:w="120"/>
              <w:bottom w:type="dxa" w:w="80"/>
              <w:right w:type="dxa" w:w="120"/>
            </w:tcMar>
          </w:tcPr>
          <w:p>
            <w:r>
              <w:rPr>
                <w:rFonts w:ascii="Arial" w:cs="Arial" w:eastAsia="Arial" w:hAnsi="Arial"/>
                <w:b/>
                <w:bCs/>
                <w:color w:val="1B3A5C"/>
                <w:sz w:val="18"/>
                <w:szCs w:val="18"/>
              </w:rPr>
              <w:t xml:space="preserve">Équation</w:t>
            </w:r>
          </w:p>
        </w:tc>
        <w:tc>
          <w:tcPr>
            <w:tcW w:type="dxa" w:w="3726"/>
            <w:tcBorders>
              <w:top w:val="single" w:color="AABDD4" w:sz="1"/>
              <w:left w:val="single" w:color="AABDD4" w:sz="1"/>
              <w:bottom w:val="single" w:color="AABDD4" w:sz="1"/>
              <w:right w:val="single" w:color="AABDD4" w:sz="1"/>
            </w:tcBorders>
            <w:shd w:fill="D5E8F0" w:val="clear"/>
            <w:tcMar>
              <w:top w:type="dxa" w:w="80"/>
              <w:left w:type="dxa" w:w="120"/>
              <w:bottom w:type="dxa" w:w="80"/>
              <w:right w:type="dxa" w:w="120"/>
            </w:tcMar>
          </w:tcPr>
          <w:p>
            <w:r>
              <w:rPr>
                <w:rFonts w:ascii="Arial" w:cs="Arial" w:eastAsia="Arial" w:hAnsi="Arial"/>
                <w:b/>
                <w:bCs/>
                <w:color w:val="1B3A5C"/>
                <w:sz w:val="18"/>
                <w:szCs w:val="18"/>
              </w:rPr>
              <w:t xml:space="preserve">Description</w:t>
            </w:r>
          </w:p>
        </w:tc>
      </w:tr>
      <w:tr>
        <w:tc>
          <w:tcPr>
            <w:tcW w:type="dxa" w:w="9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Courier New" w:cs="Courier New" w:eastAsia="Courier New" w:hAnsi="Courier New"/>
                <w:color w:val="1B3A5C"/>
                <w:sz w:val="18"/>
                <w:szCs w:val="18"/>
              </w:rPr>
              <w:t xml:space="preserve">H_ind</w:t>
            </w:r>
          </w:p>
        </w:tc>
        <w:tc>
          <w:tcPr>
            <w:tcW w:type="dxa" w:w="20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Chaleur individuelle latente</w:t>
            </w:r>
          </w:p>
        </w:tc>
        <w:tc>
          <w:tcPr>
            <w:tcW w:type="dxa" w:w="12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État</w:t>
            </w:r>
          </w:p>
        </w:tc>
        <w:tc>
          <w:tcPr>
            <w:tcW w:type="dxa" w:w="12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Courier New" w:cs="Courier New" w:eastAsia="Courier New" w:hAnsi="Courier New"/>
                <w:color w:val="2E6DA4"/>
                <w:sz w:val="18"/>
                <w:szCs w:val="18"/>
              </w:rPr>
              <w:t xml:space="preserve">Éq. 0</w:t>
            </w:r>
          </w:p>
        </w:tc>
        <w:tc>
          <w:tcPr>
            <w:tcW w:type="dxa" w:w="3726"/>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Frustration non coordonnée accumulée</w:t>
            </w:r>
          </w:p>
        </w:tc>
      </w:tr>
      <w:tr>
        <w:tc>
          <w:tcPr>
            <w:tcW w:type="dxa" w:w="9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Courier New" w:cs="Courier New" w:eastAsia="Courier New" w:hAnsi="Courier New"/>
                <w:color w:val="1B3A5C"/>
                <w:sz w:val="18"/>
                <w:szCs w:val="18"/>
              </w:rPr>
              <w:t xml:space="preserve">H_col</w:t>
            </w:r>
          </w:p>
        </w:tc>
        <w:tc>
          <w:tcPr>
            <w:tcW w:type="dxa" w:w="20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18"/>
                <w:szCs w:val="18"/>
              </w:rPr>
              <w:t xml:space="preserve">Chaleur collective</w:t>
            </w:r>
          </w:p>
        </w:tc>
        <w:tc>
          <w:tcPr>
            <w:tcW w:type="dxa" w:w="12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17"/>
                <w:szCs w:val="17"/>
              </w:rPr>
              <w:t xml:space="preserve">État</w:t>
            </w:r>
          </w:p>
        </w:tc>
        <w:tc>
          <w:tcPr>
            <w:tcW w:type="dxa" w:w="12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Courier New" w:cs="Courier New" w:eastAsia="Courier New" w:hAnsi="Courier New"/>
                <w:color w:val="2E6DA4"/>
                <w:sz w:val="18"/>
                <w:szCs w:val="18"/>
              </w:rPr>
              <w:t xml:space="preserve">Éq. 4</w:t>
            </w:r>
          </w:p>
        </w:tc>
        <w:tc>
          <w:tcPr>
            <w:tcW w:type="dxa" w:w="3726"/>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17"/>
                <w:szCs w:val="17"/>
              </w:rPr>
              <w:t xml:space="preserve">Pression organisée exercée sur R(t)</w:t>
            </w:r>
          </w:p>
        </w:tc>
      </w:tr>
      <w:tr>
        <w:tc>
          <w:tcPr>
            <w:tcW w:type="dxa" w:w="9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Courier New" w:cs="Courier New" w:eastAsia="Courier New" w:hAnsi="Courier New"/>
                <w:color w:val="1B3A5C"/>
                <w:sz w:val="18"/>
                <w:szCs w:val="18"/>
              </w:rPr>
              <w:t xml:space="preserve">V_ind</w:t>
            </w:r>
          </w:p>
        </w:tc>
        <w:tc>
          <w:tcPr>
            <w:tcW w:type="dxa" w:w="20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Répertoire des représentations</w:t>
            </w:r>
          </w:p>
        </w:tc>
        <w:tc>
          <w:tcPr>
            <w:tcW w:type="dxa" w:w="12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État</w:t>
            </w:r>
          </w:p>
        </w:tc>
        <w:tc>
          <w:tcPr>
            <w:tcW w:type="dxa" w:w="12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Courier New" w:cs="Courier New" w:eastAsia="Courier New" w:hAnsi="Courier New"/>
                <w:color w:val="2E6DA4"/>
                <w:sz w:val="18"/>
                <w:szCs w:val="18"/>
              </w:rPr>
              <w:t xml:space="preserve">Éq. 1</w:t>
            </w:r>
          </w:p>
        </w:tc>
        <w:tc>
          <w:tcPr>
            <w:tcW w:type="dxa" w:w="3726"/>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Spectre idéologique disponible</w:t>
            </w:r>
          </w:p>
        </w:tc>
      </w:tr>
      <w:tr>
        <w:tc>
          <w:tcPr>
            <w:tcW w:type="dxa" w:w="9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Courier New" w:cs="Courier New" w:eastAsia="Courier New" w:hAnsi="Courier New"/>
                <w:color w:val="1B3A5C"/>
                <w:sz w:val="18"/>
                <w:szCs w:val="18"/>
              </w:rPr>
              <w:t xml:space="preserve">V_col</w:t>
            </w:r>
          </w:p>
        </w:tc>
        <w:tc>
          <w:tcPr>
            <w:tcW w:type="dxa" w:w="20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18"/>
                <w:szCs w:val="18"/>
              </w:rPr>
              <w:t xml:space="preserve">Volume collectif mobilisé</w:t>
            </w:r>
          </w:p>
        </w:tc>
        <w:tc>
          <w:tcPr>
            <w:tcW w:type="dxa" w:w="12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17"/>
                <w:szCs w:val="17"/>
              </w:rPr>
              <w:t xml:space="preserve">État</w:t>
            </w:r>
          </w:p>
        </w:tc>
        <w:tc>
          <w:tcPr>
            <w:tcW w:type="dxa" w:w="12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Courier New" w:cs="Courier New" w:eastAsia="Courier New" w:hAnsi="Courier New"/>
                <w:color w:val="2E6DA4"/>
                <w:sz w:val="18"/>
                <w:szCs w:val="18"/>
              </w:rPr>
              <w:t xml:space="preserve">Éq. 2</w:t>
            </w:r>
          </w:p>
        </w:tc>
        <w:tc>
          <w:tcPr>
            <w:tcW w:type="dxa" w:w="3726"/>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17"/>
                <w:szCs w:val="17"/>
              </w:rPr>
              <w:t xml:space="preserve">Agents actifs du changement</w:t>
            </w:r>
          </w:p>
        </w:tc>
      </w:tr>
      <w:tr>
        <w:tc>
          <w:tcPr>
            <w:tcW w:type="dxa" w:w="9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Courier New" w:cs="Courier New" w:eastAsia="Courier New" w:hAnsi="Courier New"/>
                <w:color w:val="1B3A5C"/>
                <w:sz w:val="18"/>
                <w:szCs w:val="18"/>
              </w:rPr>
              <w:t xml:space="preserve">μs</w:t>
            </w:r>
          </w:p>
        </w:tc>
        <w:tc>
          <w:tcPr>
            <w:tcW w:type="dxa" w:w="20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Pression sociale</w:t>
            </w:r>
          </w:p>
        </w:tc>
        <w:tc>
          <w:tcPr>
            <w:tcW w:type="dxa" w:w="12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État</w:t>
            </w:r>
          </w:p>
        </w:tc>
        <w:tc>
          <w:tcPr>
            <w:tcW w:type="dxa" w:w="12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Courier New" w:cs="Courier New" w:eastAsia="Courier New" w:hAnsi="Courier New"/>
                <w:color w:val="2E6DA4"/>
                <w:sz w:val="18"/>
                <w:szCs w:val="18"/>
              </w:rPr>
              <w:t xml:space="preserve">Éq. 3</w:t>
            </w:r>
          </w:p>
        </w:tc>
        <w:tc>
          <w:tcPr>
            <w:tcW w:type="dxa" w:w="3726"/>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Inégalités + blocage − mobilité</w:t>
            </w:r>
          </w:p>
        </w:tc>
      </w:tr>
      <w:tr>
        <w:tc>
          <w:tcPr>
            <w:tcW w:type="dxa" w:w="9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Courier New" w:cs="Courier New" w:eastAsia="Courier New" w:hAnsi="Courier New"/>
                <w:color w:val="1B3A5C"/>
                <w:sz w:val="18"/>
                <w:szCs w:val="18"/>
              </w:rPr>
              <w:t xml:space="preserve">D_inst</w:t>
            </w:r>
          </w:p>
        </w:tc>
        <w:tc>
          <w:tcPr>
            <w:tcW w:type="dxa" w:w="20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18"/>
                <w:szCs w:val="18"/>
              </w:rPr>
              <w:t xml:space="preserve">Complexité institutionnelle dynamique</w:t>
            </w:r>
          </w:p>
        </w:tc>
        <w:tc>
          <w:tcPr>
            <w:tcW w:type="dxa" w:w="12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17"/>
                <w:szCs w:val="17"/>
              </w:rPr>
              <w:t xml:space="preserve">État</w:t>
            </w:r>
          </w:p>
        </w:tc>
        <w:tc>
          <w:tcPr>
            <w:tcW w:type="dxa" w:w="12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Courier New" w:cs="Courier New" w:eastAsia="Courier New" w:hAnsi="Courier New"/>
                <w:color w:val="2E6DA4"/>
                <w:sz w:val="18"/>
                <w:szCs w:val="18"/>
              </w:rPr>
              <w:t xml:space="preserve">Éq. 0bis</w:t>
            </w:r>
          </w:p>
        </w:tc>
        <w:tc>
          <w:tcPr>
            <w:tcW w:type="dxa" w:w="3726"/>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17"/>
                <w:szCs w:val="17"/>
              </w:rPr>
              <w:t xml:space="preserve">Composante endogène de Ω</w:t>
            </w:r>
          </w:p>
        </w:tc>
      </w:tr>
      <w:tr>
        <w:tc>
          <w:tcPr>
            <w:tcW w:type="dxa" w:w="9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Courier New" w:cs="Courier New" w:eastAsia="Courier New" w:hAnsi="Courier New"/>
                <w:color w:val="1B3A5C"/>
                <w:sz w:val="18"/>
                <w:szCs w:val="18"/>
              </w:rPr>
              <w:t xml:space="preserve">Ω</w:t>
            </w:r>
          </w:p>
        </w:tc>
        <w:tc>
          <w:tcPr>
            <w:tcW w:type="dxa" w:w="20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Complexité institutionnelle</w:t>
            </w:r>
          </w:p>
        </w:tc>
        <w:tc>
          <w:tcPr>
            <w:tcW w:type="dxa" w:w="12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Dérivée</w:t>
            </w:r>
          </w:p>
        </w:tc>
        <w:tc>
          <w:tcPr>
            <w:tcW w:type="dxa" w:w="12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Courier New" w:cs="Courier New" w:eastAsia="Courier New" w:hAnsi="Courier New"/>
                <w:color w:val="2E6DA4"/>
                <w:sz w:val="18"/>
                <w:szCs w:val="18"/>
              </w:rPr>
              <w:t xml:space="preserve">Éq. 6</w:t>
            </w:r>
          </w:p>
        </w:tc>
        <w:tc>
          <w:tcPr>
            <w:tcW w:type="dxa" w:w="3726"/>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f(D_pop, D_terr, D_inst)</w:t>
            </w:r>
          </w:p>
        </w:tc>
      </w:tr>
      <w:tr>
        <w:tc>
          <w:tcPr>
            <w:tcW w:type="dxa" w:w="9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Courier New" w:cs="Courier New" w:eastAsia="Courier New" w:hAnsi="Courier New"/>
                <w:color w:val="1B3A5C"/>
                <w:sz w:val="18"/>
                <w:szCs w:val="18"/>
              </w:rPr>
              <w:t xml:space="preserve">F(t)</w:t>
            </w:r>
          </w:p>
        </w:tc>
        <w:tc>
          <w:tcPr>
            <w:tcW w:type="dxa" w:w="20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18"/>
                <w:szCs w:val="18"/>
              </w:rPr>
              <w:t xml:space="preserve">Force transformatrice</w:t>
            </w:r>
          </w:p>
        </w:tc>
        <w:tc>
          <w:tcPr>
            <w:tcW w:type="dxa" w:w="12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17"/>
                <w:szCs w:val="17"/>
              </w:rPr>
              <w:t xml:space="preserve">Dérivée</w:t>
            </w:r>
          </w:p>
        </w:tc>
        <w:tc>
          <w:tcPr>
            <w:tcW w:type="dxa" w:w="12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Courier New" w:cs="Courier New" w:eastAsia="Courier New" w:hAnsi="Courier New"/>
                <w:color w:val="2E6DA4"/>
                <w:sz w:val="18"/>
                <w:szCs w:val="18"/>
              </w:rPr>
              <w:t xml:space="preserve">Éq. 5</w:t>
            </w:r>
          </w:p>
        </w:tc>
        <w:tc>
          <w:tcPr>
            <w:tcW w:type="dxa" w:w="3726"/>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17"/>
                <w:szCs w:val="17"/>
              </w:rPr>
              <w:t xml:space="preserve">Force agrégée des agents du changement</w:t>
            </w:r>
          </w:p>
        </w:tc>
      </w:tr>
      <w:tr>
        <w:tc>
          <w:tcPr>
            <w:tcW w:type="dxa" w:w="9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Courier New" w:cs="Courier New" w:eastAsia="Courier New" w:hAnsi="Courier New"/>
                <w:color w:val="1B3A5C"/>
                <w:sz w:val="18"/>
                <w:szCs w:val="18"/>
              </w:rPr>
              <w:t xml:space="preserve">R(t)</w:t>
            </w:r>
          </w:p>
        </w:tc>
        <w:tc>
          <w:tcPr>
            <w:tcW w:type="dxa" w:w="20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Résistance du système</w:t>
            </w:r>
          </w:p>
        </w:tc>
        <w:tc>
          <w:tcPr>
            <w:tcW w:type="dxa" w:w="12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Dérivée</w:t>
            </w:r>
          </w:p>
        </w:tc>
        <w:tc>
          <w:tcPr>
            <w:tcW w:type="dxa" w:w="12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Courier New" w:cs="Courier New" w:eastAsia="Courier New" w:hAnsi="Courier New"/>
                <w:color w:val="2E6DA4"/>
                <w:sz w:val="18"/>
                <w:szCs w:val="18"/>
              </w:rPr>
              <w:t xml:space="preserve">Éq. 6</w:t>
            </w:r>
          </w:p>
        </w:tc>
        <w:tc>
          <w:tcPr>
            <w:tcW w:type="dxa" w:w="3726"/>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Résistance totale en place</w:t>
            </w:r>
          </w:p>
        </w:tc>
      </w:tr>
      <w:tr>
        <w:tc>
          <w:tcPr>
            <w:tcW w:type="dxa" w:w="9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Courier New" w:cs="Courier New" w:eastAsia="Courier New" w:hAnsi="Courier New"/>
                <w:color w:val="1B3A5C"/>
                <w:sz w:val="18"/>
                <w:szCs w:val="18"/>
              </w:rPr>
              <w:t xml:space="preserve">L(t)</w:t>
            </w:r>
          </w:p>
        </w:tc>
        <w:tc>
          <w:tcPr>
            <w:tcW w:type="dxa" w:w="20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18"/>
                <w:szCs w:val="18"/>
              </w:rPr>
              <w:t xml:space="preserve">Loyauté des appareils</w:t>
            </w:r>
          </w:p>
        </w:tc>
        <w:tc>
          <w:tcPr>
            <w:tcW w:type="dxa" w:w="12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17"/>
                <w:szCs w:val="17"/>
              </w:rPr>
              <w:t xml:space="preserve">Dérivée</w:t>
            </w:r>
          </w:p>
        </w:tc>
        <w:tc>
          <w:tcPr>
            <w:tcW w:type="dxa" w:w="12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Courier New" w:cs="Courier New" w:eastAsia="Courier New" w:hAnsi="Courier New"/>
                <w:color w:val="2E6DA4"/>
                <w:sz w:val="18"/>
                <w:szCs w:val="18"/>
              </w:rPr>
              <w:t xml:space="preserve">Éq. L</w:t>
            </w:r>
          </w:p>
        </w:tc>
        <w:tc>
          <w:tcPr>
            <w:tcW w:type="dxa" w:w="3726"/>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17"/>
                <w:szCs w:val="17"/>
              </w:rPr>
              <w:t xml:space="preserve">Loyauté des forces répressives</w:t>
            </w:r>
          </w:p>
        </w:tc>
      </w:tr>
      <w:tr>
        <w:tc>
          <w:tcPr>
            <w:tcW w:type="dxa" w:w="9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Courier New" w:cs="Courier New" w:eastAsia="Courier New" w:hAnsi="Courier New"/>
                <w:color w:val="1B3A5C"/>
                <w:sz w:val="18"/>
                <w:szCs w:val="18"/>
              </w:rPr>
              <w:t xml:space="preserve">A_d_max</w:t>
            </w:r>
          </w:p>
        </w:tc>
        <w:tc>
          <w:tcPr>
            <w:tcW w:type="dxa" w:w="20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Plafond redistributif</w:t>
            </w:r>
          </w:p>
        </w:tc>
        <w:tc>
          <w:tcPr>
            <w:tcW w:type="dxa" w:w="12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Commande</w:t>
            </w:r>
          </w:p>
        </w:tc>
        <w:tc>
          <w:tcPr>
            <w:tcW w:type="dxa" w:w="12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Courier New" w:cs="Courier New" w:eastAsia="Courier New" w:hAnsi="Courier New"/>
                <w:color w:val="2E6DA4"/>
                <w:sz w:val="18"/>
                <w:szCs w:val="18"/>
              </w:rPr>
              <w:t xml:space="preserve">Éq. 0bis</w:t>
            </w:r>
          </w:p>
        </w:tc>
        <w:tc>
          <w:tcPr>
            <w:tcW w:type="dxa" w:w="3726"/>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Capacité distributive maximale</w:t>
            </w:r>
          </w:p>
        </w:tc>
      </w:tr>
      <w:tr>
        <w:tc>
          <w:tcPr>
            <w:tcW w:type="dxa" w:w="9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Courier New" w:cs="Courier New" w:eastAsia="Courier New" w:hAnsi="Courier New"/>
                <w:color w:val="1B3A5C"/>
                <w:sz w:val="18"/>
                <w:szCs w:val="18"/>
              </w:rPr>
              <w:t xml:space="preserve">A_d_eff</w:t>
            </w:r>
          </w:p>
        </w:tc>
        <w:tc>
          <w:tcPr>
            <w:tcW w:type="dxa" w:w="20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18"/>
                <w:szCs w:val="18"/>
              </w:rPr>
              <w:t xml:space="preserve">Capacité redistributive effective</w:t>
            </w:r>
          </w:p>
        </w:tc>
        <w:tc>
          <w:tcPr>
            <w:tcW w:type="dxa" w:w="12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17"/>
                <w:szCs w:val="17"/>
              </w:rPr>
              <w:t xml:space="preserve">Commande</w:t>
            </w:r>
          </w:p>
        </w:tc>
        <w:tc>
          <w:tcPr>
            <w:tcW w:type="dxa" w:w="12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Courier New" w:cs="Courier New" w:eastAsia="Courier New" w:hAnsi="Courier New"/>
                <w:color w:val="2E6DA4"/>
                <w:sz w:val="18"/>
                <w:szCs w:val="18"/>
              </w:rPr>
              <w:t xml:space="preserve">Éqs. 3,4</w:t>
            </w:r>
          </w:p>
        </w:tc>
        <w:tc>
          <w:tcPr>
            <w:tcW w:type="dxa" w:w="3726"/>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17"/>
                <w:szCs w:val="17"/>
              </w:rPr>
              <w:t xml:space="preserve">Redistribution réelle (≤ A_d_max)</w:t>
            </w:r>
          </w:p>
        </w:tc>
      </w:tr>
      <w:tr>
        <w:tc>
          <w:tcPr>
            <w:tcW w:type="dxa" w:w="9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Courier New" w:cs="Courier New" w:eastAsia="Courier New" w:hAnsi="Courier New"/>
                <w:color w:val="1B3A5C"/>
                <w:sz w:val="18"/>
                <w:szCs w:val="18"/>
              </w:rPr>
              <w:t xml:space="preserve">A_r_c</w:t>
            </w:r>
          </w:p>
        </w:tc>
        <w:tc>
          <w:tcPr>
            <w:tcW w:type="dxa" w:w="20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Répression classique</w:t>
            </w:r>
          </w:p>
        </w:tc>
        <w:tc>
          <w:tcPr>
            <w:tcW w:type="dxa" w:w="12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Commande</w:t>
            </w:r>
          </w:p>
        </w:tc>
        <w:tc>
          <w:tcPr>
            <w:tcW w:type="dxa" w:w="12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Courier New" w:cs="Courier New" w:eastAsia="Courier New" w:hAnsi="Courier New"/>
                <w:color w:val="2E6DA4"/>
                <w:sz w:val="18"/>
                <w:szCs w:val="18"/>
              </w:rPr>
              <w:t xml:space="preserve">Éq. 2</w:t>
            </w:r>
          </w:p>
        </w:tc>
        <w:tc>
          <w:tcPr>
            <w:tcW w:type="dxa" w:w="3726"/>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Coercition physique</w:t>
            </w:r>
          </w:p>
        </w:tc>
      </w:tr>
      <w:tr>
        <w:tc>
          <w:tcPr>
            <w:tcW w:type="dxa" w:w="9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Courier New" w:cs="Courier New" w:eastAsia="Courier New" w:hAnsi="Courier New"/>
                <w:color w:val="1B3A5C"/>
                <w:sz w:val="18"/>
                <w:szCs w:val="18"/>
              </w:rPr>
              <w:t xml:space="preserve">A_r_ne</w:t>
            </w:r>
          </w:p>
        </w:tc>
        <w:tc>
          <w:tcPr>
            <w:tcW w:type="dxa" w:w="20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18"/>
                <w:szCs w:val="18"/>
              </w:rPr>
              <w:t xml:space="preserve">Répression numérique</w:t>
            </w:r>
          </w:p>
        </w:tc>
        <w:tc>
          <w:tcPr>
            <w:tcW w:type="dxa" w:w="12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17"/>
                <w:szCs w:val="17"/>
              </w:rPr>
              <w:t xml:space="preserve">Commande</w:t>
            </w:r>
          </w:p>
        </w:tc>
        <w:tc>
          <w:tcPr>
            <w:tcW w:type="dxa" w:w="12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Courier New" w:cs="Courier New" w:eastAsia="Courier New" w:hAnsi="Courier New"/>
                <w:color w:val="2E6DA4"/>
                <w:sz w:val="18"/>
                <w:szCs w:val="18"/>
              </w:rPr>
              <w:t xml:space="preserve">Éq. 2</w:t>
            </w:r>
          </w:p>
        </w:tc>
        <w:tc>
          <w:tcPr>
            <w:tcW w:type="dxa" w:w="3726"/>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17"/>
                <w:szCs w:val="17"/>
              </w:rPr>
              <w:t xml:space="preserve">Surveillance et censure numériques</w:t>
            </w:r>
          </w:p>
        </w:tc>
      </w:tr>
      <w:tr>
        <w:tc>
          <w:tcPr>
            <w:tcW w:type="dxa" w:w="9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Courier New" w:cs="Courier New" w:eastAsia="Courier New" w:hAnsi="Courier New"/>
                <w:color w:val="1B3A5C"/>
                <w:sz w:val="18"/>
                <w:szCs w:val="18"/>
              </w:rPr>
              <w:t xml:space="preserve">A_i</w:t>
            </w:r>
          </w:p>
        </w:tc>
        <w:tc>
          <w:tcPr>
            <w:tcW w:type="dxa" w:w="20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Réforme institutionnelle</w:t>
            </w:r>
          </w:p>
        </w:tc>
        <w:tc>
          <w:tcPr>
            <w:tcW w:type="dxa" w:w="12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Commande</w:t>
            </w:r>
          </w:p>
        </w:tc>
        <w:tc>
          <w:tcPr>
            <w:tcW w:type="dxa" w:w="12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Courier New" w:cs="Courier New" w:eastAsia="Courier New" w:hAnsi="Courier New"/>
                <w:color w:val="2E6DA4"/>
                <w:sz w:val="18"/>
                <w:szCs w:val="18"/>
              </w:rPr>
              <w:t xml:space="preserve">Éqs. 3,4</w:t>
            </w:r>
          </w:p>
        </w:tc>
        <w:tc>
          <w:tcPr>
            <w:tcW w:type="dxa" w:w="3726"/>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Réforme du système</w:t>
            </w:r>
          </w:p>
        </w:tc>
      </w:tr>
      <w:tr>
        <w:tc>
          <w:tcPr>
            <w:tcW w:type="dxa" w:w="9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Courier New" w:cs="Courier New" w:eastAsia="Courier New" w:hAnsi="Courier New"/>
                <w:color w:val="1B3A5C"/>
                <w:sz w:val="18"/>
                <w:szCs w:val="18"/>
              </w:rPr>
              <w:t xml:space="preserve">Cs</w:t>
            </w:r>
          </w:p>
        </w:tc>
        <w:tc>
          <w:tcPr>
            <w:tcW w:type="dxa" w:w="20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18"/>
                <w:szCs w:val="18"/>
              </w:rPr>
              <w:t xml:space="preserve">Crédibilité du régime</w:t>
            </w:r>
          </w:p>
        </w:tc>
        <w:tc>
          <w:tcPr>
            <w:tcW w:type="dxa" w:w="12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17"/>
                <w:szCs w:val="17"/>
              </w:rPr>
              <w:t xml:space="preserve">Dérivée</w:t>
            </w:r>
          </w:p>
        </w:tc>
        <w:tc>
          <w:tcPr>
            <w:tcW w:type="dxa" w:w="12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Courier New" w:cs="Courier New" w:eastAsia="Courier New" w:hAnsi="Courier New"/>
                <w:color w:val="2E6DA4"/>
                <w:sz w:val="18"/>
                <w:szCs w:val="18"/>
              </w:rPr>
              <w:t xml:space="preserve">Éq. 2</w:t>
            </w:r>
          </w:p>
        </w:tc>
        <w:tc>
          <w:tcPr>
            <w:tcW w:type="dxa" w:w="3726"/>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17"/>
                <w:szCs w:val="17"/>
              </w:rPr>
              <w:t xml:space="preserve">Signal de légitimité — effet boomerang</w:t>
            </w:r>
          </w:p>
        </w:tc>
      </w:tr>
      <w:tr>
        <w:tc>
          <w:tcPr>
            <w:tcW w:type="dxa" w:w="9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Courier New" w:cs="Courier New" w:eastAsia="Courier New" w:hAnsi="Courier New"/>
                <w:color w:val="1B3A5C"/>
                <w:sz w:val="18"/>
                <w:szCs w:val="18"/>
              </w:rPr>
              <w:t xml:space="preserve">E_split</w:t>
            </w:r>
          </w:p>
        </w:tc>
        <w:tc>
          <w:tcPr>
            <w:tcW w:type="dxa" w:w="20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Fracture de l'élite</w:t>
            </w:r>
          </w:p>
        </w:tc>
        <w:tc>
          <w:tcPr>
            <w:tcW w:type="dxa" w:w="12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Paramètre</w:t>
            </w:r>
          </w:p>
        </w:tc>
        <w:tc>
          <w:tcPr>
            <w:tcW w:type="dxa" w:w="12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Courier New" w:cs="Courier New" w:eastAsia="Courier New" w:hAnsi="Courier New"/>
                <w:color w:val="2E6DA4"/>
                <w:sz w:val="18"/>
                <w:szCs w:val="18"/>
              </w:rPr>
              <w:t xml:space="preserve">Éq. 2</w:t>
            </w:r>
          </w:p>
        </w:tc>
        <w:tc>
          <w:tcPr>
            <w:tcW w:type="dxa" w:w="3726"/>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Part des élites marginalisées</w:t>
            </w:r>
          </w:p>
        </w:tc>
      </w:tr>
      <w:tr>
        <w:tc>
          <w:tcPr>
            <w:tcW w:type="dxa" w:w="9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Courier New" w:cs="Courier New" w:eastAsia="Courier New" w:hAnsi="Courier New"/>
                <w:color w:val="1B3A5C"/>
                <w:sz w:val="18"/>
                <w:szCs w:val="18"/>
              </w:rPr>
              <w:t xml:space="preserve">γ</w:t>
            </w:r>
          </w:p>
        </w:tc>
        <w:tc>
          <w:tcPr>
            <w:tcW w:type="dxa" w:w="20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18"/>
                <w:szCs w:val="18"/>
              </w:rPr>
              <w:t xml:space="preserve">Capacité org. de l'élite</w:t>
            </w:r>
          </w:p>
        </w:tc>
        <w:tc>
          <w:tcPr>
            <w:tcW w:type="dxa" w:w="12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17"/>
                <w:szCs w:val="17"/>
              </w:rPr>
              <w:t xml:space="preserve">Paramètre</w:t>
            </w:r>
          </w:p>
        </w:tc>
        <w:tc>
          <w:tcPr>
            <w:tcW w:type="dxa" w:w="12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Courier New" w:cs="Courier New" w:eastAsia="Courier New" w:hAnsi="Courier New"/>
                <w:color w:val="2E6DA4"/>
                <w:sz w:val="18"/>
                <w:szCs w:val="18"/>
              </w:rPr>
              <w:t xml:space="preserve">Éq. 5</w:t>
            </w:r>
          </w:p>
        </w:tc>
        <w:tc>
          <w:tcPr>
            <w:tcW w:type="dxa" w:w="3726"/>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17"/>
                <w:szCs w:val="17"/>
              </w:rPr>
              <w:t xml:space="preserve">Qualité organisationnelle de E_split (clé JSON : gamma)</w:t>
            </w:r>
          </w:p>
        </w:tc>
      </w:tr>
      <w:tr>
        <w:tc>
          <w:tcPr>
            <w:tcW w:type="dxa" w:w="9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Courier New" w:cs="Courier New" w:eastAsia="Courier New" w:hAnsi="Courier New"/>
                <w:color w:val="1B3A5C"/>
                <w:sz w:val="18"/>
                <w:szCs w:val="18"/>
              </w:rPr>
              <w:t xml:space="preserve">Sa</w:t>
            </w:r>
          </w:p>
        </w:tc>
        <w:tc>
          <w:tcPr>
            <w:tcW w:type="dxa" w:w="20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Structure anthropologique</w:t>
            </w:r>
          </w:p>
        </w:tc>
        <w:tc>
          <w:tcPr>
            <w:tcW w:type="dxa" w:w="12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Paramètre</w:t>
            </w:r>
          </w:p>
        </w:tc>
        <w:tc>
          <w:tcPr>
            <w:tcW w:type="dxa" w:w="12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Courier New" w:cs="Courier New" w:eastAsia="Courier New" w:hAnsi="Courier New"/>
                <w:color w:val="2E6DA4"/>
                <w:sz w:val="18"/>
                <w:szCs w:val="18"/>
              </w:rPr>
              <w:t xml:space="preserve">Multi</w:t>
            </w:r>
          </w:p>
        </w:tc>
        <w:tc>
          <w:tcPr>
            <w:tcW w:type="dxa" w:w="3726"/>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Structure familiale Todd</w:t>
            </w:r>
          </w:p>
        </w:tc>
      </w:tr>
      <w:tr>
        <w:tc>
          <w:tcPr>
            <w:tcW w:type="dxa" w:w="9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Courier New" w:cs="Courier New" w:eastAsia="Courier New" w:hAnsi="Courier New"/>
                <w:color w:val="1B3A5C"/>
                <w:sz w:val="18"/>
                <w:szCs w:val="18"/>
              </w:rPr>
              <w:t xml:space="preserve">EROI</w:t>
            </w:r>
          </w:p>
        </w:tc>
        <w:tc>
          <w:tcPr>
            <w:tcW w:type="dxa" w:w="20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18"/>
                <w:szCs w:val="18"/>
              </w:rPr>
              <w:t xml:space="preserve">Rendement énergétique</w:t>
            </w:r>
          </w:p>
        </w:tc>
        <w:tc>
          <w:tcPr>
            <w:tcW w:type="dxa" w:w="12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17"/>
                <w:szCs w:val="17"/>
              </w:rPr>
              <w:t xml:space="preserve">Exogène</w:t>
            </w:r>
          </w:p>
        </w:tc>
        <w:tc>
          <w:tcPr>
            <w:tcW w:type="dxa" w:w="12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Courier New" w:cs="Courier New" w:eastAsia="Courier New" w:hAnsi="Courier New"/>
                <w:color w:val="2E6DA4"/>
                <w:sz w:val="18"/>
                <w:szCs w:val="18"/>
              </w:rPr>
              <w:t xml:space="preserve">Éq. 0bis</w:t>
            </w:r>
          </w:p>
        </w:tc>
        <w:tc>
          <w:tcPr>
            <w:tcW w:type="dxa" w:w="3726"/>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17"/>
                <w:szCs w:val="17"/>
              </w:rPr>
              <w:t xml:space="preserve">Taux de retour de la source N0</w:t>
            </w:r>
          </w:p>
        </w:tc>
      </w:tr>
    </w:tbl>
    <w:p>
      <w:pPr>
        <w:spacing w:before="0" w:after="0"/>
        <w:jc w:val="left"/>
      </w:pPr>
      <w:r>
        <w:rPr>
          <w:rFonts w:ascii="Arial" w:cs="Arial" w:eastAsia="Arial" w:hAnsi="Arial"/>
          <w:color w:val="444444"/>
          <w:sz w:val="20"/>
          <w:szCs w:val="20"/>
        </w:rPr>
        <w:t xml:space="preserve"/>
      </w:r>
    </w:p>
    <w:p>
      <w:r>
        <w:br w:type="page"/>
      </w:r>
    </w:p>
    <w:p>
      <w:pPr>
        <w:pStyle w:val="Heading1"/>
        <w:spacing w:before="280" w:after="100"/>
      </w:pPr>
      <w:r>
        <w:rPr>
          <w:rFonts w:ascii="Arial" w:cs="Arial" w:eastAsia="Arial" w:hAnsi="Arial"/>
          <w:b/>
          <w:bCs/>
          <w:color w:val="1B3A5C"/>
          <w:sz w:val="36"/>
          <w:szCs w:val="36"/>
        </w:rPr>
        <w:t xml:space="preserve">3. Les huit équations fondamentales</w:t>
      </w:r>
    </w:p>
    <w:p>
      <w:pPr>
        <w:spacing w:before="60" w:after="60"/>
        <w:jc w:val="left"/>
      </w:pPr>
      <w:r>
        <w:rPr>
          <w:rFonts w:ascii="Arial" w:cs="Arial" w:eastAsia="Arial" w:hAnsi="Arial"/>
          <w:color w:val="444444"/>
          <w:sz w:val="20"/>
          <w:szCs w:val="20"/>
        </w:rPr>
        <w:t xml:space="preserve">Le système comprend huit équations couplées. Les équations 0 et 0bis sont calculées en premier. Les équations 1 à 4 forment le bloc dynamique central. Les équations 5 et 6 sont des équations de synthèse.</w:t>
      </w:r>
    </w:p>
    <w:p>
      <w:pPr>
        <w:spacing w:before="0" w:after="0"/>
        <w:jc w:val="left"/>
      </w:pPr>
      <w:r>
        <w:rPr>
          <w:rFonts w:ascii="Arial" w:cs="Arial" w:eastAsia="Arial" w:hAnsi="Arial"/>
          <w:color w:val="444444"/>
          <w:sz w:val="20"/>
          <w:szCs w:val="20"/>
        </w:rPr>
        <w:t xml:space="preserve"/>
      </w:r>
    </w:p>
    <w:p>
      <w:pPr>
        <w:pStyle w:val="Heading2"/>
        <w:spacing w:before="220" w:after="80"/>
      </w:pPr>
      <w:r>
        <w:rPr>
          <w:rFonts w:ascii="Arial" w:cs="Arial" w:eastAsia="Arial" w:hAnsi="Arial"/>
          <w:b/>
          <w:bCs/>
          <w:color w:val="2E6DA4"/>
          <w:sz w:val="28"/>
          <w:szCs w:val="28"/>
        </w:rPr>
        <w:t xml:space="preserve">Éq. 0 — Chaleur individuelle latente H_ind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BDD4" w:sz="1"/>
              <w:left w:val="single" w:color="AABDD4" w:sz="1"/>
              <w:bottom w:val="single" w:color="AABDD4" w:sz="1"/>
              <w:right w:val="single" w:color="AABDD4" w:sz="1"/>
            </w:tcBorders>
            <w:shd w:fill="F4F4F4" w:val="clear"/>
            <w:tcMar>
              <w:top w:type="dxa" w:w="80"/>
              <w:left w:type="dxa" w:w="160"/>
              <w:bottom w:type="dxa" w:w="80"/>
              <w:right w:type="dxa" w:w="120"/>
            </w:tcMar>
          </w:tcPr>
          <w:p>
            <w:pPr>
              <w:spacing w:before="0" w:after="0"/>
              <w:jc w:val="left"/>
            </w:pPr>
            <w:r>
              <w:rPr>
                <w:rFonts w:ascii="Courier New" w:cs="Courier New" w:eastAsia="Courier New" w:hAnsi="Courier New"/>
                <w:color w:val="2E6DA4"/>
                <w:sz w:val="18"/>
                <w:szCs w:val="18"/>
              </w:rPr>
              <w:t xml:space="preserve">dH_ind/dt = μs_eff × V_ind × (1 - α_eff/α_c) - τ_conv × H_ind × max(0, α_eff/α_c - 1)</w:t>
            </w:r>
          </w:p>
        </w:tc>
      </w:tr>
    </w:tbl>
    <w:p>
      <w:pPr>
        <w:spacing w:before="0" w:after="0"/>
        <w:jc w:val="left"/>
      </w:pPr>
      <w:r>
        <w:rPr>
          <w:rFonts w:ascii="Arial" w:cs="Arial" w:eastAsia="Arial" w:hAnsi="Arial"/>
          <w:color w:val="444444"/>
          <w:sz w:val="20"/>
          <w:szCs w:val="20"/>
        </w:rPr>
        <w:t xml:space="preserve"/>
      </w:r>
    </w:p>
    <w:p>
      <w:pPr>
        <w:spacing w:before="60" w:after="60"/>
        <w:jc w:val="left"/>
      </w:pPr>
      <w:r>
        <w:rPr>
          <w:rFonts w:ascii="Arial" w:cs="Arial" w:eastAsia="Arial" w:hAnsi="Arial"/>
          <w:color w:val="444444"/>
          <w:sz w:val="20"/>
          <w:szCs w:val="20"/>
        </w:rPr>
        <w:t xml:space="preserve">La chaleur individuelle latente (H_ind) est la frustration accumulée individuellement quand la coordination collective est bloquée (α_eff &lt; α_c). H_ind croît proportionnellement à la pression sociale et au répertoire des représentations disponibles.</w:t>
      </w:r>
    </w:p>
    <w:p>
      <w:pPr>
        <w:spacing w:before="0" w:after="0"/>
        <w:jc w:val="left"/>
      </w:pPr>
      <w:r>
        <w:rPr>
          <w:rFonts w:ascii="Arial" w:cs="Arial" w:eastAsia="Arial" w:hAnsi="Arial"/>
          <w:color w:val="444444"/>
          <w:sz w:val="20"/>
          <w:szCs w:val="20"/>
        </w:rPr>
        <w:t xml:space="preserve"/>
      </w:r>
    </w:p>
    <w:p>
      <w:pPr>
        <w:pStyle w:val="Heading2"/>
        <w:spacing w:before="220" w:after="80"/>
      </w:pPr>
      <w:r>
        <w:rPr>
          <w:rFonts w:ascii="Arial" w:cs="Arial" w:eastAsia="Arial" w:hAnsi="Arial"/>
          <w:b/>
          <w:bCs/>
          <w:color w:val="2E6DA4"/>
          <w:sz w:val="28"/>
          <w:szCs w:val="28"/>
        </w:rPr>
        <w:t xml:space="preserve">Éq. 0bis — Complexité institutionnelle dynamique D_inst → Ω</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BDD4" w:sz="1"/>
              <w:left w:val="single" w:color="AABDD4" w:sz="1"/>
              <w:bottom w:val="single" w:color="AABDD4" w:sz="1"/>
              <w:right w:val="single" w:color="AABDD4" w:sz="1"/>
            </w:tcBorders>
            <w:shd w:fill="F4F4F4" w:val="clear"/>
            <w:tcMar>
              <w:top w:type="dxa" w:w="80"/>
              <w:left w:type="dxa" w:w="160"/>
              <w:bottom w:type="dxa" w:w="80"/>
              <w:right w:type="dxa" w:w="120"/>
            </w:tcMar>
          </w:tcPr>
          <w:p>
            <w:pPr>
              <w:spacing w:before="0" w:after="4"/>
              <w:jc w:val="left"/>
            </w:pPr>
            <w:r>
              <w:rPr>
                <w:rFonts w:ascii="Courier New" w:cs="Courier New" w:eastAsia="Courier New" w:hAnsi="Courier New"/>
                <w:color w:val="2E6DA4"/>
                <w:sz w:val="18"/>
                <w:szCs w:val="18"/>
              </w:rPr>
              <w:t xml:space="preserve">dD_inst/dt = κ_Ω × E_disp(t) − λ_Ω × D_inst(t)</w:t>
            </w:r>
          </w:p>
          <w:p>
            <w:pPr>
              <w:spacing w:before="0" w:after="4"/>
              <w:jc w:val="left"/>
            </w:pPr>
            <w:r>
              <w:rPr>
                <w:rFonts w:ascii="Courier New" w:cs="Courier New" w:eastAsia="Courier New" w:hAnsi="Courier New"/>
                <w:color w:val="2E6DA4"/>
                <w:sz w:val="18"/>
                <w:szCs w:val="18"/>
              </w:rPr>
              <w:t xml:space="preserve">E_disp(t) = η × max(0, EROI(t) − 1) × P(t)</w:t>
            </w:r>
          </w:p>
          <w:p>
            <w:pPr>
              <w:spacing w:before="0" w:after="0"/>
              <w:jc w:val="left"/>
            </w:pPr>
            <w:r>
              <w:rPr>
                <w:rFonts w:ascii="Courier New" w:cs="Courier New" w:eastAsia="Courier New" w:hAnsi="Courier New"/>
                <w:color w:val="2E6DA4"/>
                <w:sz w:val="18"/>
                <w:szCs w:val="18"/>
              </w:rPr>
              <w:t xml:space="preserve">Ω(t) = (D_pop × D_terr × D_inst(t))^(1/3)</w:t>
            </w:r>
          </w:p>
        </w:tc>
      </w:tr>
    </w:tbl>
    <w:p>
      <w:pPr>
        <w:spacing w:before="0" w:after="0"/>
        <w:jc w:val="left"/>
      </w:pPr>
      <w:r>
        <w:rPr>
          <w:rFonts w:ascii="Arial" w:cs="Arial" w:eastAsia="Arial" w:hAnsi="Arial"/>
          <w:color w:val="444444"/>
          <w:sz w:val="20"/>
          <w:szCs w:val="20"/>
        </w:rPr>
        <w:t xml:space="preserve"/>
      </w:r>
    </w:p>
    <w:p>
      <w:pPr>
        <w:spacing w:before="60" w:after="60"/>
        <w:jc w:val="left"/>
      </w:pPr>
      <w:r>
        <w:rPr>
          <w:rFonts w:ascii="Arial" w:cs="Arial" w:eastAsia="Arial" w:hAnsi="Arial"/>
          <w:color w:val="444444"/>
          <w:sz w:val="20"/>
          <w:szCs w:val="20"/>
        </w:rPr>
        <w:t xml:space="preserve">Quand EROI décline, E_disp baisse, D_inst suit avec un retard λ_Ω⁻¹ — c'est le délai de Tainter entre le choc énergétique et l'effondrement institutionnel visible.</w:t>
      </w:r>
    </w:p>
    <w:p>
      <w:pPr>
        <w:spacing w:before="0" w:after="0"/>
        <w:jc w:val="left"/>
      </w:pPr>
      <w:r>
        <w:rPr>
          <w:rFonts w:ascii="Arial" w:cs="Arial" w:eastAsia="Arial" w:hAnsi="Arial"/>
          <w:color w:val="444444"/>
          <w:sz w:val="20"/>
          <w:szCs w:val="20"/>
        </w:rPr>
        <w:t xml:space="preserve"/>
      </w:r>
    </w:p>
    <w:p>
      <w:pPr>
        <w:pStyle w:val="Heading2"/>
        <w:spacing w:before="220" w:after="80"/>
      </w:pPr>
      <w:r>
        <w:rPr>
          <w:rFonts w:ascii="Arial" w:cs="Arial" w:eastAsia="Arial" w:hAnsi="Arial"/>
          <w:b/>
          <w:bCs/>
          <w:color w:val="2E6DA4"/>
          <w:sz w:val="28"/>
          <w:szCs w:val="28"/>
        </w:rPr>
        <w:t xml:space="preserve">Éq. 1 — Répertoire des représentations V_ind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BDD4" w:sz="1"/>
              <w:left w:val="single" w:color="AABDD4" w:sz="1"/>
              <w:bottom w:val="single" w:color="AABDD4" w:sz="1"/>
              <w:right w:val="single" w:color="AABDD4" w:sz="1"/>
            </w:tcBorders>
            <w:shd w:fill="F4F4F4" w:val="clear"/>
            <w:tcMar>
              <w:top w:type="dxa" w:w="80"/>
              <w:left w:type="dxa" w:w="160"/>
              <w:bottom w:type="dxa" w:w="80"/>
              <w:right w:type="dxa" w:w="120"/>
            </w:tcMar>
          </w:tcPr>
          <w:p>
            <w:pPr>
              <w:spacing w:before="0" w:after="0"/>
              <w:jc w:val="left"/>
            </w:pPr>
            <w:r>
              <w:rPr>
                <w:rFonts w:ascii="Courier New" w:cs="Courier New" w:eastAsia="Courier New" w:hAnsi="Courier New"/>
                <w:color w:val="2E6DA4"/>
                <w:sz w:val="18"/>
                <w:szCs w:val="18"/>
              </w:rPr>
              <w:t xml:space="preserve">dV_ind/dt = [I_grad × (1 − A_c) + I_rad_0 + ξ × H_ind] − δ_ind × V_ind</w:t>
            </w:r>
          </w:p>
        </w:tc>
      </w:tr>
    </w:tbl>
    <w:p>
      <w:pPr>
        <w:spacing w:before="0" w:after="0"/>
        <w:jc w:val="left"/>
      </w:pPr>
      <w:r>
        <w:rPr>
          <w:rFonts w:ascii="Arial" w:cs="Arial" w:eastAsia="Arial" w:hAnsi="Arial"/>
          <w:color w:val="444444"/>
          <w:sz w:val="20"/>
          <w:szCs w:val="20"/>
        </w:rPr>
        <w:t xml:space="preserve"/>
      </w:r>
    </w:p>
    <w:p>
      <w:pPr>
        <w:pStyle w:val="Heading2"/>
        <w:spacing w:before="220" w:after="80"/>
      </w:pPr>
      <w:r>
        <w:rPr>
          <w:rFonts w:ascii="Arial" w:cs="Arial" w:eastAsia="Arial" w:hAnsi="Arial"/>
          <w:b/>
          <w:bCs/>
          <w:color w:val="2E6DA4"/>
          <w:sz w:val="28"/>
          <w:szCs w:val="28"/>
        </w:rPr>
        <w:t xml:space="preserve">Éq. 2 — Volume collectif mobilisé V_col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BDD4" w:sz="1"/>
              <w:left w:val="single" w:color="AABDD4" w:sz="1"/>
              <w:bottom w:val="single" w:color="AABDD4" w:sz="1"/>
              <w:right w:val="single" w:color="AABDD4" w:sz="1"/>
            </w:tcBorders>
            <w:shd w:fill="F4F4F4" w:val="clear"/>
            <w:tcMar>
              <w:top w:type="dxa" w:w="80"/>
              <w:left w:type="dxa" w:w="160"/>
              <w:bottom w:type="dxa" w:w="80"/>
              <w:right w:type="dxa" w:w="120"/>
            </w:tcMar>
          </w:tcPr>
          <w:p>
            <w:pPr>
              <w:spacing w:before="0" w:after="4"/>
              <w:jc w:val="left"/>
            </w:pPr>
            <w:r>
              <w:rPr>
                <w:rFonts w:ascii="Courier New" w:cs="Courier New" w:eastAsia="Courier New" w:hAnsi="Courier New"/>
                <w:color w:val="2E6DA4"/>
                <w:sz w:val="18"/>
                <w:szCs w:val="18"/>
              </w:rPr>
              <w:t xml:space="preserve">dV_col/dt = α_eff × V_ind − S × A_r_c_eff − S_ne × A_r_ne_eff − δ_col × V_col</w:t>
            </w:r>
          </w:p>
          <w:p>
            <w:pPr>
              <w:spacing w:before="0" w:after="4"/>
              <w:jc w:val="left"/>
            </w:pPr>
            <w:r>
              <w:rPr>
                <w:rFonts w:ascii="Courier New" w:cs="Courier New" w:eastAsia="Courier New" w:hAnsi="Courier New"/>
                <w:color w:val="2E6DA4"/>
                <w:sz w:val="18"/>
                <w:szCs w:val="18"/>
              </w:rPr>
              <w:t xml:space="preserve">α_eff = α_0(Sa) × (1 + γ_e × E_split) / (1 + β_eff × A_r_ne_eff)</w:t>
            </w:r>
          </w:p>
          <w:p>
            <w:pPr>
              <w:spacing w:before="0" w:after="4"/>
              <w:jc w:val="left"/>
            </w:pPr>
            <w:r>
              <w:rPr>
                <w:rFonts w:ascii="Courier New" w:cs="Courier New" w:eastAsia="Courier New" w:hAnsi="Courier New"/>
                <w:color w:val="2E6DA4"/>
                <w:sz w:val="18"/>
                <w:szCs w:val="18"/>
              </w:rPr>
              <w:t xml:space="preserve">β_eff = β_0 × Cs(t),   Cs(t) = max(0, 1 − κ_s × H_col(t))</w:t>
            </w:r>
          </w:p>
          <w:p>
            <w:pPr>
              <w:spacing w:before="0" w:after="0"/>
              <w:jc w:val="left"/>
            </w:pPr>
            <w:r>
              <w:rPr>
                <w:rFonts w:ascii="Courier New" w:cs="Courier New" w:eastAsia="Courier New" w:hAnsi="Courier New"/>
                <w:color w:val="2E6DA4"/>
                <w:sz w:val="18"/>
                <w:szCs w:val="18"/>
              </w:rPr>
              <w:t xml:space="preserve">A_r_c_eff = A_r_c × L(t)   |   A_r_ne_eff = A_r_ne × L(t) × Cs(t)^γ_ne</w:t>
            </w:r>
          </w:p>
        </w:tc>
      </w:tr>
    </w:tbl>
    <w:p>
      <w:pPr>
        <w:spacing w:before="0" w:after="0"/>
        <w:jc w:val="left"/>
      </w:pPr>
      <w:r>
        <w:rPr>
          <w:rFonts w:ascii="Arial" w:cs="Arial" w:eastAsia="Arial" w:hAnsi="Arial"/>
          <w:color w:val="444444"/>
          <w:sz w:val="20"/>
          <w:szCs w:val="20"/>
        </w:rPr>
        <w:t xml:space="preserve"/>
      </w:r>
    </w:p>
    <w:p>
      <w:pPr>
        <w:spacing w:before="60" w:after="60"/>
        <w:jc w:val="left"/>
      </w:pPr>
      <w:r>
        <w:rPr>
          <w:rFonts w:ascii="Arial" w:cs="Arial" w:eastAsia="Arial" w:hAnsi="Arial"/>
          <w:color w:val="444444"/>
          <w:sz w:val="20"/>
          <w:szCs w:val="20"/>
        </w:rPr>
        <w:t xml:space="preserve">La fracture de l'élite (E_split) amplifie α_eff. β_eff est dynamique : quand Cs chute, β_eff → négatif et la répression accélère la mobilisation — c'est l'effet boomerang.</w:t>
      </w:r>
    </w:p>
    <w:p>
      <w:pPr>
        <w:spacing w:before="0" w:after="0"/>
        <w:jc w:val="left"/>
      </w:pPr>
      <w:r>
        <w:rPr>
          <w:rFonts w:ascii="Arial" w:cs="Arial" w:eastAsia="Arial" w:hAnsi="Arial"/>
          <w:color w:val="444444"/>
          <w:sz w:val="20"/>
          <w:szCs w:val="20"/>
        </w:rPr>
        <w:t xml:space="preserve"/>
      </w:r>
    </w:p>
    <w:p>
      <w:pPr>
        <w:pStyle w:val="Heading2"/>
        <w:spacing w:before="220" w:after="80"/>
      </w:pPr>
      <w:r>
        <w:rPr>
          <w:rFonts w:ascii="Arial" w:cs="Arial" w:eastAsia="Arial" w:hAnsi="Arial"/>
          <w:b/>
          <w:bCs/>
          <w:color w:val="2E6DA4"/>
          <w:sz w:val="28"/>
          <w:szCs w:val="28"/>
        </w:rPr>
        <w:t xml:space="preserve">Éq. 3 — Pression sociale μs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BDD4" w:sz="1"/>
              <w:left w:val="single" w:color="AABDD4" w:sz="1"/>
              <w:bottom w:val="single" w:color="AABDD4" w:sz="1"/>
              <w:right w:val="single" w:color="AABDD4" w:sz="1"/>
            </w:tcBorders>
            <w:shd w:fill="F4F4F4" w:val="clear"/>
            <w:tcMar>
              <w:top w:type="dxa" w:w="80"/>
              <w:left w:type="dxa" w:w="160"/>
              <w:bottom w:type="dxa" w:w="80"/>
              <w:right w:type="dxa" w:w="120"/>
            </w:tcMar>
          </w:tcPr>
          <w:p>
            <w:pPr>
              <w:spacing w:before="0" w:after="0"/>
              <w:jc w:val="left"/>
            </w:pPr>
            <w:r>
              <w:rPr>
                <w:rFonts w:ascii="Courier New" w:cs="Courier New" w:eastAsia="Courier New" w:hAnsi="Courier New"/>
                <w:color w:val="2E6DA4"/>
                <w:sz w:val="18"/>
                <w:szCs w:val="18"/>
              </w:rPr>
              <w:t xml:space="preserve">dμs/dt = α_eq × Ineq + β_eq × Bloc − γ_μ × Mob − δ_μ × A_d_eff − ε × A_i</w:t>
            </w:r>
          </w:p>
        </w:tc>
      </w:tr>
    </w:tbl>
    <w:p>
      <w:pPr>
        <w:spacing w:before="0" w:after="0"/>
        <w:jc w:val="left"/>
      </w:pPr>
      <w:r>
        <w:rPr>
          <w:rFonts w:ascii="Arial" w:cs="Arial" w:eastAsia="Arial" w:hAnsi="Arial"/>
          <w:color w:val="444444"/>
          <w:sz w:val="20"/>
          <w:szCs w:val="20"/>
        </w:rPr>
        <w:t xml:space="preserve"/>
      </w:r>
    </w:p>
    <w:p>
      <w:pPr>
        <w:pStyle w:val="Heading2"/>
        <w:spacing w:before="220" w:after="80"/>
      </w:pPr>
      <w:r>
        <w:rPr>
          <w:rFonts w:ascii="Arial" w:cs="Arial" w:eastAsia="Arial" w:hAnsi="Arial"/>
          <w:b/>
          <w:bCs/>
          <w:color w:val="2E6DA4"/>
          <w:sz w:val="28"/>
          <w:szCs w:val="28"/>
        </w:rPr>
        <w:t xml:space="preserve">Éq. 4 — Chaleur collective H_col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BDD4" w:sz="1"/>
              <w:left w:val="single" w:color="AABDD4" w:sz="1"/>
              <w:bottom w:val="single" w:color="AABDD4" w:sz="1"/>
              <w:right w:val="single" w:color="AABDD4" w:sz="1"/>
            </w:tcBorders>
            <w:shd w:fill="F4F4F4" w:val="clear"/>
            <w:tcMar>
              <w:top w:type="dxa" w:w="80"/>
              <w:left w:type="dxa" w:w="160"/>
              <w:bottom w:type="dxa" w:w="80"/>
              <w:right w:type="dxa" w:w="120"/>
            </w:tcMar>
          </w:tcPr>
          <w:p>
            <w:pPr>
              <w:spacing w:before="0" w:after="0"/>
              <w:jc w:val="left"/>
            </w:pPr>
            <w:r>
              <w:rPr>
                <w:rFonts w:ascii="Courier New" w:cs="Courier New" w:eastAsia="Courier New" w:hAnsi="Courier New"/>
                <w:color w:val="2E6DA4"/>
                <w:sz w:val="18"/>
                <w:szCs w:val="18"/>
              </w:rPr>
              <w:t xml:space="preserve">dH_col/dt = φ × V_col × μs_eff − κ_H × A_d_eff − λ × A_i − ρ × Q6</w:t>
            </w:r>
          </w:p>
        </w:tc>
      </w:tr>
    </w:tbl>
    <w:p>
      <w:pPr>
        <w:spacing w:before="0" w:after="0"/>
        <w:jc w:val="left"/>
      </w:pPr>
      <w:r>
        <w:rPr>
          <w:rFonts w:ascii="Arial" w:cs="Arial" w:eastAsia="Arial" w:hAnsi="Arial"/>
          <w:color w:val="444444"/>
          <w:sz w:val="20"/>
          <w:szCs w:val="20"/>
        </w:rPr>
        <w:t xml:space="preserve"/>
      </w:r>
    </w:p>
    <w:p>
      <w:pPr>
        <w:pStyle w:val="Heading2"/>
        <w:spacing w:before="220" w:after="80"/>
      </w:pPr>
      <w:r>
        <w:rPr>
          <w:rFonts w:ascii="Arial" w:cs="Arial" w:eastAsia="Arial" w:hAnsi="Arial"/>
          <w:b/>
          <w:bCs/>
          <w:color w:val="2E6DA4"/>
          <w:sz w:val="28"/>
          <w:szCs w:val="28"/>
        </w:rPr>
        <w:t xml:space="preserve">Éq. 5 — Force transformatrice F(t)  [apport V6.0 : γ]</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BDD4" w:sz="1"/>
              <w:left w:val="single" w:color="AABDD4" w:sz="1"/>
              <w:bottom w:val="single" w:color="AABDD4" w:sz="1"/>
              <w:right w:val="single" w:color="AABDD4" w:sz="1"/>
            </w:tcBorders>
            <w:shd w:fill="F4F4F4" w:val="clear"/>
            <w:tcMar>
              <w:top w:type="dxa" w:w="80"/>
              <w:left w:type="dxa" w:w="160"/>
              <w:bottom w:type="dxa" w:w="80"/>
              <w:right w:type="dxa" w:w="120"/>
            </w:tcMar>
          </w:tcPr>
          <w:p>
            <w:pPr>
              <w:spacing w:before="0" w:after="0"/>
              <w:jc w:val="left"/>
            </w:pPr>
            <w:r>
              <w:rPr>
                <w:rFonts w:ascii="Courier New" w:cs="Courier New" w:eastAsia="Courier New" w:hAnsi="Courier New"/>
                <w:color w:val="2E6DA4"/>
                <w:sz w:val="18"/>
                <w:szCs w:val="18"/>
              </w:rPr>
              <w:t xml:space="preserve">F(t) = Q4 + Q5_déstab + θ × H_col + θ_ind × H_ind + γ × E_split × H_ind</w:t>
            </w:r>
          </w:p>
        </w:tc>
      </w:tr>
    </w:tbl>
    <w:p>
      <w:pPr>
        <w:spacing w:before="0" w:after="0"/>
        <w:jc w:val="left"/>
      </w:pPr>
      <w:r>
        <w:rPr>
          <w:rFonts w:ascii="Arial" w:cs="Arial" w:eastAsia="Arial" w:hAnsi="Arial"/>
          <w:color w:val="444444"/>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BDD4" w:sz="1"/>
              <w:left w:val="single" w:color="2A7F7F" w:sz="6"/>
              <w:bottom w:val="single" w:color="AABDD4" w:sz="1"/>
              <w:right w:val="single" w:color="AABDD4" w:sz="1"/>
            </w:tcBorders>
            <w:shd w:fill="EDF3FA" w:val="clear"/>
            <w:tcMar>
              <w:top w:type="dxa" w:w="80"/>
              <w:left w:type="dxa" w:w="200"/>
              <w:bottom w:type="dxa" w:w="80"/>
              <w:right w:type="dxa" w:w="120"/>
            </w:tcMar>
          </w:tcPr>
          <w:p>
            <w:pPr>
              <w:spacing w:before="0" w:after="0"/>
              <w:jc w:val="left"/>
            </w:pPr>
            <w:r>
              <w:rPr>
                <w:rFonts w:ascii="Arial" w:cs="Arial" w:eastAsia="Arial" w:hAnsi="Arial"/>
                <w:b/>
                <w:bCs/>
                <w:color w:val="2A7F7F"/>
                <w:sz w:val="18"/>
                <w:szCs w:val="18"/>
              </w:rPr>
              <w:t xml:space="preserve">Correspondance MEPA Full → Lite — </w:t>
            </w:r>
            <w:r>
              <w:rPr>
                <w:rFonts w:ascii="Arial" w:cs="Arial" w:eastAsia="Arial" w:hAnsi="Arial"/>
                <w:color w:val="444444"/>
                <w:sz w:val="18"/>
                <w:szCs w:val="18"/>
              </w:rPr>
              <w:t xml:space="preserve">Dans MEPA Lite (réduction quasi-stationnaire) : H_col → C, H_ind → L, et le terme γ×E_split×H_ind est absorbé dans μ×E×γ×L. La formule Lite est F(t) = C + λ×L×(1+μ×γ×E). La clé JSON pour γ est 'gamma' (décision D6 V6.2).</w:t>
            </w:r>
          </w:p>
        </w:tc>
      </w:tr>
    </w:tbl>
    <w:p>
      <w:pPr>
        <w:spacing w:before="0" w:after="0"/>
        <w:jc w:val="left"/>
      </w:pPr>
      <w:r>
        <w:rPr>
          <w:rFonts w:ascii="Arial" w:cs="Arial" w:eastAsia="Arial" w:hAnsi="Arial"/>
          <w:color w:val="444444"/>
          <w:sz w:val="20"/>
          <w:szCs w:val="20"/>
        </w:rPr>
        <w:t xml:space="preserve"/>
      </w:r>
    </w:p>
    <w:p>
      <w:pPr>
        <w:pStyle w:val="Heading2"/>
        <w:spacing w:before="220" w:after="80"/>
      </w:pPr>
      <w:r>
        <w:rPr>
          <w:rFonts w:ascii="Arial" w:cs="Arial" w:eastAsia="Arial" w:hAnsi="Arial"/>
          <w:b/>
          <w:bCs/>
          <w:color w:val="2E6DA4"/>
          <w:sz w:val="28"/>
          <w:szCs w:val="28"/>
        </w:rPr>
        <w:t xml:space="preserve">Éq. 6 — Résistance du système 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BDD4" w:sz="1"/>
              <w:left w:val="single" w:color="AABDD4" w:sz="1"/>
              <w:bottom w:val="single" w:color="AABDD4" w:sz="1"/>
              <w:right w:val="single" w:color="AABDD4" w:sz="1"/>
            </w:tcBorders>
            <w:shd w:fill="F4F4F4" w:val="clear"/>
            <w:tcMar>
              <w:top w:type="dxa" w:w="80"/>
              <w:left w:type="dxa" w:w="160"/>
              <w:bottom w:type="dxa" w:w="80"/>
              <w:right w:type="dxa" w:w="120"/>
            </w:tcMar>
          </w:tcPr>
          <w:p>
            <w:pPr>
              <w:spacing w:before="0" w:after="0"/>
              <w:jc w:val="left"/>
            </w:pPr>
            <w:r>
              <w:rPr>
                <w:rFonts w:ascii="Courier New" w:cs="Courier New" w:eastAsia="Courier New" w:hAnsi="Courier New"/>
                <w:color w:val="2E6DA4"/>
                <w:sz w:val="18"/>
                <w:szCs w:val="18"/>
              </w:rPr>
              <w:t xml:space="preserve">R(t) = Ω(t) × [Q1 + Q2 + Q3_neutre] + A_r_c_eff + A_r_ne_eff × (1 + Q5_tech_rép) + Q5_stab</w:t>
            </w:r>
          </w:p>
        </w:tc>
      </w:tr>
    </w:tbl>
    <w:p>
      <w:pPr>
        <w:spacing w:before="0" w:after="0"/>
        <w:jc w:val="left"/>
      </w:pPr>
      <w:r>
        <w:rPr>
          <w:rFonts w:ascii="Arial" w:cs="Arial" w:eastAsia="Arial" w:hAnsi="Arial"/>
          <w:color w:val="444444"/>
          <w:sz w:val="20"/>
          <w:szCs w:val="20"/>
        </w:rPr>
        <w:t xml:space="preserve"/>
      </w:r>
    </w:p>
    <w:p>
      <w:pPr>
        <w:pStyle w:val="Heading2"/>
        <w:spacing w:before="220" w:after="80"/>
      </w:pPr>
      <w:r>
        <w:rPr>
          <w:rFonts w:ascii="Arial" w:cs="Arial" w:eastAsia="Arial" w:hAnsi="Arial"/>
          <w:b/>
          <w:bCs/>
          <w:color w:val="2E6DA4"/>
          <w:sz w:val="28"/>
          <w:szCs w:val="28"/>
        </w:rPr>
        <w:t xml:space="preserve">Éq. L — Loyauté des appareils 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BDD4" w:sz="1"/>
              <w:left w:val="single" w:color="AABDD4" w:sz="1"/>
              <w:bottom w:val="single" w:color="AABDD4" w:sz="1"/>
              <w:right w:val="single" w:color="AABDD4" w:sz="1"/>
            </w:tcBorders>
            <w:shd w:fill="F4F4F4" w:val="clear"/>
            <w:tcMar>
              <w:top w:type="dxa" w:w="80"/>
              <w:left w:type="dxa" w:w="160"/>
              <w:bottom w:type="dxa" w:w="80"/>
              <w:right w:type="dxa" w:w="120"/>
            </w:tcMar>
          </w:tcPr>
          <w:p>
            <w:pPr>
              <w:spacing w:before="0" w:after="0"/>
              <w:jc w:val="left"/>
            </w:pPr>
            <w:r>
              <w:rPr>
                <w:rFonts w:ascii="Courier New" w:cs="Courier New" w:eastAsia="Courier New" w:hAnsi="Courier New"/>
                <w:color w:val="2E6DA4"/>
                <w:sz w:val="18"/>
                <w:szCs w:val="18"/>
              </w:rPr>
              <w:t xml:space="preserve">L(t) = min(1,  A_d_eff(t)/A_d_seuil  +  Sa × L_ideol × exp(−δ_ideol × t_déficit))</w:t>
            </w:r>
          </w:p>
        </w:tc>
      </w:tr>
    </w:tbl>
    <w:p>
      <w:pPr>
        <w:spacing w:before="0" w:after="0"/>
        <w:jc w:val="left"/>
      </w:pPr>
      <w:r>
        <w:rPr>
          <w:rFonts w:ascii="Arial" w:cs="Arial" w:eastAsia="Arial" w:hAnsi="Arial"/>
          <w:color w:val="444444"/>
          <w:sz w:val="20"/>
          <w:szCs w:val="20"/>
        </w:rPr>
        <w:t xml:space="preserve"/>
      </w:r>
    </w:p>
    <w:p>
      <w:r>
        <w:br w:type="page"/>
      </w:r>
    </w:p>
    <w:p>
      <w:pPr>
        <w:pStyle w:val="Heading1"/>
        <w:spacing w:before="280" w:after="100"/>
      </w:pPr>
      <w:r>
        <w:rPr>
          <w:rFonts w:ascii="Arial" w:cs="Arial" w:eastAsia="Arial" w:hAnsi="Arial"/>
          <w:b/>
          <w:bCs/>
          <w:color w:val="1B3A5C"/>
          <w:sz w:val="36"/>
          <w:szCs w:val="36"/>
        </w:rPr>
        <w:t xml:space="preserve">4. Paramètres, contraintes et degrés de liberté</w:t>
      </w:r>
    </w:p>
    <w:p>
      <w:pPr>
        <w:spacing w:before="60" w:after="60"/>
        <w:jc w:val="left"/>
      </w:pPr>
      <w:r>
        <w:rPr>
          <w:rFonts w:ascii="Arial" w:cs="Arial" w:eastAsia="Arial" w:hAnsi="Arial"/>
          <w:color w:val="444444"/>
          <w:sz w:val="20"/>
          <w:szCs w:val="20"/>
        </w:rPr>
        <w:t xml:space="preserve">Le risque de surparamétrisation avec 29 coefficients est réel. La V6.0 répond à cette critique par des contraintes théoriques fortes, des bornes empiriques issues des 27 WP, et un protocole d'identification inter-codeurs (Annexe E). Voir l'Addendum Théorique V6.2 pour la formalisation du CCI comme métrique de reproductibilité.</w:t>
      </w:r>
    </w:p>
    <w:p>
      <w:pPr>
        <w:spacing w:before="0" w:after="0"/>
        <w:jc w:val="left"/>
      </w:pPr>
      <w:r>
        <w:rPr>
          <w:rFonts w:ascii="Arial" w:cs="Arial" w:eastAsia="Arial" w:hAnsi="Arial"/>
          <w:color w:val="444444"/>
          <w:sz w:val="20"/>
          <w:szCs w:val="20"/>
        </w:rPr>
        <w:t xml:space="preserve"/>
      </w:r>
    </w:p>
    <w:p>
      <w:pPr>
        <w:pStyle w:val="Heading2"/>
        <w:spacing w:before="220" w:after="80"/>
      </w:pPr>
      <w:r>
        <w:rPr>
          <w:rFonts w:ascii="Arial" w:cs="Arial" w:eastAsia="Arial" w:hAnsi="Arial"/>
          <w:b/>
          <w:bCs/>
          <w:color w:val="2E6DA4"/>
          <w:sz w:val="28"/>
          <w:szCs w:val="28"/>
        </w:rPr>
        <w:t xml:space="preserve">4.1 Valeurs de référence — Variables clés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500"/>
        <w:gridCol w:w="2000"/>
        <w:gridCol w:w="1400"/>
        <w:gridCol w:w="1526"/>
      </w:tblGrid>
      <w:tr>
        <w:trPr>
          <w:tblHeader/>
        </w:trPr>
        <w:tc>
          <w:tcPr>
            <w:tcW w:type="dxa" w:w="1200"/>
            <w:tcBorders>
              <w:top w:val="single" w:color="AABDD4" w:sz="1"/>
              <w:left w:val="single" w:color="AABDD4" w:sz="1"/>
              <w:bottom w:val="single" w:color="AABDD4" w:sz="1"/>
              <w:right w:val="single" w:color="AABDD4" w:sz="1"/>
            </w:tcBorders>
            <w:shd w:fill="D5E8F0" w:val="clear"/>
            <w:tcMar>
              <w:top w:type="dxa" w:w="80"/>
              <w:left w:type="dxa" w:w="120"/>
              <w:bottom w:type="dxa" w:w="80"/>
              <w:right w:type="dxa" w:w="120"/>
            </w:tcMar>
          </w:tcPr>
          <w:p>
            <w:r>
              <w:rPr>
                <w:rFonts w:ascii="Arial" w:cs="Arial" w:eastAsia="Arial" w:hAnsi="Arial"/>
                <w:b/>
                <w:bCs/>
                <w:color w:val="1B3A5C"/>
                <w:sz w:val="18"/>
                <w:szCs w:val="18"/>
              </w:rPr>
              <w:t xml:space="preserve">Variable</w:t>
            </w:r>
          </w:p>
        </w:tc>
        <w:tc>
          <w:tcPr>
            <w:tcW w:type="dxa" w:w="1400"/>
            <w:tcBorders>
              <w:top w:val="single" w:color="AABDD4" w:sz="1"/>
              <w:left w:val="single" w:color="AABDD4" w:sz="1"/>
              <w:bottom w:val="single" w:color="AABDD4" w:sz="1"/>
              <w:right w:val="single" w:color="AABDD4" w:sz="1"/>
            </w:tcBorders>
            <w:shd w:fill="D5E8F0" w:val="clear"/>
            <w:tcMar>
              <w:top w:type="dxa" w:w="80"/>
              <w:left w:type="dxa" w:w="120"/>
              <w:bottom w:type="dxa" w:w="80"/>
              <w:right w:type="dxa" w:w="120"/>
            </w:tcMar>
          </w:tcPr>
          <w:p>
            <w:r>
              <w:rPr>
                <w:rFonts w:ascii="Arial" w:cs="Arial" w:eastAsia="Arial" w:hAnsi="Arial"/>
                <w:b/>
                <w:bCs/>
                <w:color w:val="1B3A5C"/>
                <w:sz w:val="18"/>
                <w:szCs w:val="18"/>
              </w:rPr>
              <w:t xml:space="preserve">Terme naturel</w:t>
            </w:r>
          </w:p>
        </w:tc>
        <w:tc>
          <w:tcPr>
            <w:tcW w:type="dxa" w:w="1500"/>
            <w:tcBorders>
              <w:top w:val="single" w:color="AABDD4" w:sz="1"/>
              <w:left w:val="single" w:color="AABDD4" w:sz="1"/>
              <w:bottom w:val="single" w:color="AABDD4" w:sz="1"/>
              <w:right w:val="single" w:color="AABDD4" w:sz="1"/>
            </w:tcBorders>
            <w:shd w:fill="D5E8F0" w:val="clear"/>
            <w:tcMar>
              <w:top w:type="dxa" w:w="80"/>
              <w:left w:type="dxa" w:w="120"/>
              <w:bottom w:type="dxa" w:w="80"/>
              <w:right w:type="dxa" w:w="120"/>
            </w:tcMar>
          </w:tcPr>
          <w:p>
            <w:r>
              <w:rPr>
                <w:rFonts w:ascii="Arial" w:cs="Arial" w:eastAsia="Arial" w:hAnsi="Arial"/>
                <w:b/>
                <w:bCs/>
                <w:color w:val="1B3A5C"/>
                <w:sz w:val="18"/>
                <w:szCs w:val="18"/>
              </w:rPr>
              <w:t xml:space="preserve">Valeur</w:t>
            </w:r>
          </w:p>
        </w:tc>
        <w:tc>
          <w:tcPr>
            <w:tcW w:type="dxa" w:w="2000"/>
            <w:tcBorders>
              <w:top w:val="single" w:color="AABDD4" w:sz="1"/>
              <w:left w:val="single" w:color="AABDD4" w:sz="1"/>
              <w:bottom w:val="single" w:color="AABDD4" w:sz="1"/>
              <w:right w:val="single" w:color="AABDD4" w:sz="1"/>
            </w:tcBorders>
            <w:shd w:fill="D5E8F0" w:val="clear"/>
            <w:tcMar>
              <w:top w:type="dxa" w:w="80"/>
              <w:left w:type="dxa" w:w="120"/>
              <w:bottom w:type="dxa" w:w="80"/>
              <w:right w:type="dxa" w:w="120"/>
            </w:tcMar>
          </w:tcPr>
          <w:p>
            <w:r>
              <w:rPr>
                <w:rFonts w:ascii="Arial" w:cs="Arial" w:eastAsia="Arial" w:hAnsi="Arial"/>
                <w:b/>
                <w:bCs/>
                <w:color w:val="1B3A5C"/>
                <w:sz w:val="18"/>
                <w:szCs w:val="18"/>
              </w:rPr>
              <w:t xml:space="preserve">Cas WP</w:t>
            </w:r>
          </w:p>
        </w:tc>
        <w:tc>
          <w:tcPr>
            <w:tcW w:type="dxa" w:w="1400"/>
            <w:tcBorders>
              <w:top w:val="single" w:color="AABDD4" w:sz="1"/>
              <w:left w:val="single" w:color="AABDD4" w:sz="1"/>
              <w:bottom w:val="single" w:color="AABDD4" w:sz="1"/>
              <w:right w:val="single" w:color="AABDD4" w:sz="1"/>
            </w:tcBorders>
            <w:shd w:fill="D5E8F0" w:val="clear"/>
            <w:tcMar>
              <w:top w:type="dxa" w:w="80"/>
              <w:left w:type="dxa" w:w="120"/>
              <w:bottom w:type="dxa" w:w="80"/>
              <w:right w:type="dxa" w:w="120"/>
            </w:tcMar>
          </w:tcPr>
          <w:p>
            <w:r>
              <w:rPr>
                <w:rFonts w:ascii="Arial" w:cs="Arial" w:eastAsia="Arial" w:hAnsi="Arial"/>
                <w:b/>
                <w:bCs/>
                <w:color w:val="1B3A5C"/>
                <w:sz w:val="18"/>
                <w:szCs w:val="18"/>
              </w:rPr>
              <w:t xml:space="preserve">Fiabilité</w:t>
            </w:r>
          </w:p>
        </w:tc>
        <w:tc>
          <w:tcPr>
            <w:tcW w:type="dxa" w:w="1526"/>
            <w:tcBorders>
              <w:top w:val="single" w:color="AABDD4" w:sz="1"/>
              <w:left w:val="single" w:color="AABDD4" w:sz="1"/>
              <w:bottom w:val="single" w:color="AABDD4" w:sz="1"/>
              <w:right w:val="single" w:color="AABDD4" w:sz="1"/>
            </w:tcBorders>
            <w:shd w:fill="D5E8F0" w:val="clear"/>
            <w:tcMar>
              <w:top w:type="dxa" w:w="80"/>
              <w:left w:type="dxa" w:w="120"/>
              <w:bottom w:type="dxa" w:w="80"/>
              <w:right w:type="dxa" w:w="120"/>
            </w:tcMar>
          </w:tcPr>
          <w:p>
            <w:r>
              <w:rPr>
                <w:rFonts w:ascii="Arial" w:cs="Arial" w:eastAsia="Arial" w:hAnsi="Arial"/>
                <w:b/>
                <w:bCs/>
                <w:color w:val="1B3A5C"/>
                <w:sz w:val="18"/>
                <w:szCs w:val="18"/>
              </w:rPr>
              <w:t xml:space="preserve">Note</w:t>
            </w:r>
          </w:p>
        </w:tc>
      </w:tr>
      <w:tr>
        <w:tc>
          <w:tcPr>
            <w:tcW w:type="dxa" w:w="12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Courier New" w:cs="Courier New" w:eastAsia="Courier New" w:hAnsi="Courier New"/>
                <w:color w:val="1B3A5C"/>
                <w:sz w:val="18"/>
                <w:szCs w:val="18"/>
              </w:rPr>
              <w:t xml:space="preserve">E_split (max)</w:t>
            </w:r>
          </w:p>
        </w:tc>
        <w:tc>
          <w:tcPr>
            <w:tcW w:type="dxa" w:w="14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Fracture élite</w:t>
            </w:r>
          </w:p>
        </w:tc>
        <w:tc>
          <w:tcPr>
            <w:tcW w:type="dxa" w:w="15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b/>
                <w:bCs/>
                <w:color w:val="2A7F7F"/>
                <w:sz w:val="18"/>
                <w:szCs w:val="18"/>
              </w:rPr>
              <w:t xml:space="preserve">0.90</w:t>
            </w:r>
          </w:p>
        </w:tc>
        <w:tc>
          <w:tcPr>
            <w:tcW w:type="dxa" w:w="20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Haïti 1791 (WP-F7)</w:t>
            </w:r>
          </w:p>
        </w:tc>
        <w:tc>
          <w:tcPr>
            <w:tcW w:type="dxa" w:w="14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b/>
                <w:bCs/>
                <w:color w:val="1E6B3C"/>
                <w:sz w:val="18"/>
                <w:szCs w:val="18"/>
              </w:rPr>
              <w:t xml:space="preserve">H</w:t>
            </w:r>
          </w:p>
        </w:tc>
        <w:tc>
          <w:tcPr>
            <w:tcW w:type="dxa" w:w="1526"/>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Ancre sup. programme</w:t>
            </w:r>
          </w:p>
        </w:tc>
      </w:tr>
      <w:tr>
        <w:tc>
          <w:tcPr>
            <w:tcW w:type="dxa" w:w="12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Courier New" w:cs="Courier New" w:eastAsia="Courier New" w:hAnsi="Courier New"/>
                <w:color w:val="1B3A5C"/>
                <w:sz w:val="18"/>
                <w:szCs w:val="18"/>
              </w:rPr>
              <w:t xml:space="preserve">E_split (réf.)</w:t>
            </w:r>
          </w:p>
        </w:tc>
        <w:tc>
          <w:tcPr>
            <w:tcW w:type="dxa" w:w="14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17"/>
                <w:szCs w:val="17"/>
              </w:rPr>
              <w:t xml:space="preserve">Fracture élite</w:t>
            </w:r>
          </w:p>
        </w:tc>
        <w:tc>
          <w:tcPr>
            <w:tcW w:type="dxa" w:w="15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b/>
                <w:bCs/>
                <w:color w:val="2A7F7F"/>
                <w:sz w:val="18"/>
                <w:szCs w:val="18"/>
              </w:rPr>
              <w:t xml:space="preserve">0.70</w:t>
            </w:r>
          </w:p>
        </w:tc>
        <w:tc>
          <w:tcPr>
            <w:tcW w:type="dxa" w:w="20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17"/>
                <w:szCs w:val="17"/>
              </w:rPr>
              <w:t xml:space="preserve">France 1789 (WP-F8)</w:t>
            </w:r>
          </w:p>
        </w:tc>
        <w:tc>
          <w:tcPr>
            <w:tcW w:type="dxa" w:w="14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b/>
                <w:bCs/>
                <w:color w:val="1E6B3C"/>
                <w:sz w:val="18"/>
                <w:szCs w:val="18"/>
              </w:rPr>
              <w:t xml:space="preserve">H</w:t>
            </w:r>
          </w:p>
        </w:tc>
        <w:tc>
          <w:tcPr>
            <w:tcW w:type="dxa" w:w="1526"/>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17"/>
                <w:szCs w:val="17"/>
              </w:rPr>
              <w:t xml:space="preserve"/>
            </w:r>
          </w:p>
        </w:tc>
      </w:tr>
      <w:tr>
        <w:tc>
          <w:tcPr>
            <w:tcW w:type="dxa" w:w="12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Courier New" w:cs="Courier New" w:eastAsia="Courier New" w:hAnsi="Courier New"/>
                <w:color w:val="1B3A5C"/>
                <w:sz w:val="18"/>
                <w:szCs w:val="18"/>
              </w:rPr>
              <w:t xml:space="preserve">E_split (min)</w:t>
            </w:r>
          </w:p>
        </w:tc>
        <w:tc>
          <w:tcPr>
            <w:tcW w:type="dxa" w:w="14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Fracture élite</w:t>
            </w:r>
          </w:p>
        </w:tc>
        <w:tc>
          <w:tcPr>
            <w:tcW w:type="dxa" w:w="15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b/>
                <w:bCs/>
                <w:color w:val="2A7F7F"/>
                <w:sz w:val="18"/>
                <w:szCs w:val="18"/>
              </w:rPr>
              <w:t xml:space="preserve">0.10</w:t>
            </w:r>
          </w:p>
        </w:tc>
        <w:tc>
          <w:tcPr>
            <w:tcW w:type="dxa" w:w="20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Singapour (WP-I9)</w:t>
            </w:r>
          </w:p>
        </w:tc>
        <w:tc>
          <w:tcPr>
            <w:tcW w:type="dxa" w:w="14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b/>
                <w:bCs/>
                <w:color w:val="1E6B3C"/>
                <w:sz w:val="18"/>
                <w:szCs w:val="18"/>
              </w:rPr>
              <w:t xml:space="preserve">H</w:t>
            </w:r>
          </w:p>
        </w:tc>
        <w:tc>
          <w:tcPr>
            <w:tcW w:type="dxa" w:w="1526"/>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Ancre inf. programme</w:t>
            </w:r>
          </w:p>
        </w:tc>
      </w:tr>
      <w:tr>
        <w:tc>
          <w:tcPr>
            <w:tcW w:type="dxa" w:w="12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Courier New" w:cs="Courier New" w:eastAsia="Courier New" w:hAnsi="Courier New"/>
                <w:color w:val="1B3A5C"/>
                <w:sz w:val="18"/>
                <w:szCs w:val="18"/>
              </w:rPr>
              <w:t xml:space="preserve">γ (fort)</w:t>
            </w:r>
          </w:p>
        </w:tc>
        <w:tc>
          <w:tcPr>
            <w:tcW w:type="dxa" w:w="14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17"/>
                <w:szCs w:val="17"/>
              </w:rPr>
              <w:t xml:space="preserve">Cap. org. élite</w:t>
            </w:r>
          </w:p>
        </w:tc>
        <w:tc>
          <w:tcPr>
            <w:tcW w:type="dxa" w:w="15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b/>
                <w:bCs/>
                <w:color w:val="2A7F7F"/>
                <w:sz w:val="18"/>
                <w:szCs w:val="18"/>
              </w:rPr>
              <w:t xml:space="preserve">0.80–0.90</w:t>
            </w:r>
          </w:p>
        </w:tc>
        <w:tc>
          <w:tcPr>
            <w:tcW w:type="dxa" w:w="20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17"/>
                <w:szCs w:val="17"/>
              </w:rPr>
              <w:t xml:space="preserve">Russie 1917 (WP-I2)</w:t>
            </w:r>
          </w:p>
        </w:tc>
        <w:tc>
          <w:tcPr>
            <w:tcW w:type="dxa" w:w="14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b/>
                <w:bCs/>
                <w:color w:val="1E6B3C"/>
                <w:sz w:val="18"/>
                <w:szCs w:val="18"/>
              </w:rPr>
              <w:t xml:space="preserve">H</w:t>
            </w:r>
          </w:p>
        </w:tc>
        <w:tc>
          <w:tcPr>
            <w:tcW w:type="dxa" w:w="1526"/>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17"/>
                <w:szCs w:val="17"/>
              </w:rPr>
              <w:t xml:space="preserve">intelligentsia bolchévique</w:t>
            </w:r>
          </w:p>
        </w:tc>
      </w:tr>
      <w:tr>
        <w:tc>
          <w:tcPr>
            <w:tcW w:type="dxa" w:w="12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Courier New" w:cs="Courier New" w:eastAsia="Courier New" w:hAnsi="Courier New"/>
                <w:color w:val="1B3A5C"/>
                <w:sz w:val="18"/>
                <w:szCs w:val="18"/>
              </w:rPr>
              <w:t xml:space="preserve">γ (moyen)</w:t>
            </w:r>
          </w:p>
        </w:tc>
        <w:tc>
          <w:tcPr>
            <w:tcW w:type="dxa" w:w="14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Cap. org. élite</w:t>
            </w:r>
          </w:p>
        </w:tc>
        <w:tc>
          <w:tcPr>
            <w:tcW w:type="dxa" w:w="15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b/>
                <w:bCs/>
                <w:color w:val="2A7F7F"/>
                <w:sz w:val="18"/>
                <w:szCs w:val="18"/>
              </w:rPr>
              <w:t xml:space="preserve">0.35–0.50</w:t>
            </w:r>
          </w:p>
        </w:tc>
        <w:tc>
          <w:tcPr>
            <w:tcW w:type="dxa" w:w="20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Commune 1871 (WP-F10)</w:t>
            </w:r>
          </w:p>
        </w:tc>
        <w:tc>
          <w:tcPr>
            <w:tcW w:type="dxa" w:w="14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b/>
                <w:bCs/>
                <w:color w:val="C47A1E"/>
                <w:sz w:val="18"/>
                <w:szCs w:val="18"/>
              </w:rPr>
              <w:t xml:space="preserve">M</w:t>
            </w:r>
          </w:p>
        </w:tc>
        <w:tc>
          <w:tcPr>
            <w:tcW w:type="dxa" w:w="1526"/>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fragmentation doctrinale</w:t>
            </w:r>
          </w:p>
        </w:tc>
      </w:tr>
      <w:tr>
        <w:tc>
          <w:tcPr>
            <w:tcW w:type="dxa" w:w="12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Courier New" w:cs="Courier New" w:eastAsia="Courier New" w:hAnsi="Courier New"/>
                <w:color w:val="1B3A5C"/>
                <w:sz w:val="18"/>
                <w:szCs w:val="18"/>
              </w:rPr>
              <w:t xml:space="preserve">γ (faible)</w:t>
            </w:r>
          </w:p>
        </w:tc>
        <w:tc>
          <w:tcPr>
            <w:tcW w:type="dxa" w:w="14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17"/>
                <w:szCs w:val="17"/>
              </w:rPr>
              <w:t xml:space="preserve">Cap. org. élite</w:t>
            </w:r>
          </w:p>
        </w:tc>
        <w:tc>
          <w:tcPr>
            <w:tcW w:type="dxa" w:w="15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b/>
                <w:bCs/>
                <w:color w:val="2A7F7F"/>
                <w:sz w:val="18"/>
                <w:szCs w:val="18"/>
              </w:rPr>
              <w:t xml:space="preserve">0.05–0.15</w:t>
            </w:r>
          </w:p>
        </w:tc>
        <w:tc>
          <w:tcPr>
            <w:tcW w:type="dxa" w:w="20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17"/>
                <w:szCs w:val="17"/>
              </w:rPr>
              <w:t xml:space="preserve">Singapour (WP-I9)</w:t>
            </w:r>
          </w:p>
        </w:tc>
        <w:tc>
          <w:tcPr>
            <w:tcW w:type="dxa" w:w="14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b/>
                <w:bCs/>
                <w:color w:val="C47A1E"/>
                <w:sz w:val="18"/>
                <w:szCs w:val="18"/>
              </w:rPr>
              <w:t xml:space="preserve">M</w:t>
            </w:r>
          </w:p>
        </w:tc>
        <w:tc>
          <w:tcPr>
            <w:tcW w:type="dxa" w:w="1526"/>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17"/>
                <w:szCs w:val="17"/>
              </w:rPr>
              <w:t xml:space="preserve">intégration méritocratique</w:t>
            </w:r>
          </w:p>
        </w:tc>
      </w:tr>
      <w:tr>
        <w:tc>
          <w:tcPr>
            <w:tcW w:type="dxa" w:w="12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Courier New" w:cs="Courier New" w:eastAsia="Courier New" w:hAnsi="Courier New"/>
                <w:color w:val="1B3A5C"/>
                <w:sz w:val="18"/>
                <w:szCs w:val="18"/>
              </w:rPr>
              <w:t xml:space="preserve">A_r_ne (max)</w:t>
            </w:r>
          </w:p>
        </w:tc>
        <w:tc>
          <w:tcPr>
            <w:tcW w:type="dxa" w:w="14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Répression num.</w:t>
            </w:r>
          </w:p>
        </w:tc>
        <w:tc>
          <w:tcPr>
            <w:tcW w:type="dxa" w:w="15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b/>
                <w:bCs/>
                <w:color w:val="2A7F7F"/>
                <w:sz w:val="18"/>
                <w:szCs w:val="18"/>
              </w:rPr>
              <w:t xml:space="preserve">0.85</w:t>
            </w:r>
          </w:p>
        </w:tc>
        <w:tc>
          <w:tcPr>
            <w:tcW w:type="dxa" w:w="20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Chine Xi 2024 (WP-C6)</w:t>
            </w:r>
          </w:p>
        </w:tc>
        <w:tc>
          <w:tcPr>
            <w:tcW w:type="dxa" w:w="14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b/>
                <w:bCs/>
                <w:color w:val="1E6B3C"/>
                <w:sz w:val="18"/>
                <w:szCs w:val="18"/>
              </w:rPr>
              <w:t xml:space="preserve">H</w:t>
            </w:r>
          </w:p>
        </w:tc>
        <w:tc>
          <w:tcPr>
            <w:tcW w:type="dxa" w:w="1526"/>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
            </w:r>
          </w:p>
        </w:tc>
      </w:tr>
      <w:tr>
        <w:tc>
          <w:tcPr>
            <w:tcW w:type="dxa" w:w="12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Courier New" w:cs="Courier New" w:eastAsia="Courier New" w:hAnsi="Courier New"/>
                <w:color w:val="1B3A5C"/>
                <w:sz w:val="18"/>
                <w:szCs w:val="18"/>
              </w:rPr>
              <w:t xml:space="preserve">EROI seuil (d)</w:t>
            </w:r>
          </w:p>
        </w:tc>
        <w:tc>
          <w:tcPr>
            <w:tcW w:type="dxa" w:w="14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17"/>
                <w:szCs w:val="17"/>
              </w:rPr>
              <w:t xml:space="preserve">Rendement</w:t>
            </w:r>
          </w:p>
        </w:tc>
        <w:tc>
          <w:tcPr>
            <w:tcW w:type="dxa" w:w="15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b/>
                <w:bCs/>
                <w:color w:val="2A7F7F"/>
                <w:sz w:val="18"/>
                <w:szCs w:val="18"/>
              </w:rPr>
              <w:t xml:space="preserve">≈ 3</w:t>
            </w:r>
          </w:p>
        </w:tc>
        <w:tc>
          <w:tcPr>
            <w:tcW w:type="dxa" w:w="20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17"/>
                <w:szCs w:val="17"/>
              </w:rPr>
              <w:t xml:space="preserve">Maya (WP-F3) · Rwanda (WP-I10)</w:t>
            </w:r>
          </w:p>
        </w:tc>
        <w:tc>
          <w:tcPr>
            <w:tcW w:type="dxa" w:w="14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b/>
                <w:bCs/>
                <w:color w:val="1E6B3C"/>
                <w:sz w:val="18"/>
                <w:szCs w:val="18"/>
              </w:rPr>
              <w:t xml:space="preserve">H</w:t>
            </w:r>
          </w:p>
        </w:tc>
        <w:tc>
          <w:tcPr>
            <w:tcW w:type="dxa" w:w="1526"/>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17"/>
                <w:szCs w:val="17"/>
              </w:rPr>
              <w:t xml:space="preserve">seuil effondrement</w:t>
            </w:r>
          </w:p>
        </w:tc>
      </w:tr>
      <w:tr>
        <w:tc>
          <w:tcPr>
            <w:tcW w:type="dxa" w:w="12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Courier New" w:cs="Courier New" w:eastAsia="Courier New" w:hAnsi="Courier New"/>
                <w:color w:val="1B3A5C"/>
                <w:sz w:val="18"/>
                <w:szCs w:val="18"/>
              </w:rPr>
              <w:t xml:space="preserve">EROI compensateur</w:t>
            </w:r>
          </w:p>
        </w:tc>
        <w:tc>
          <w:tcPr>
            <w:tcW w:type="dxa" w:w="14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Rendement</w:t>
            </w:r>
          </w:p>
        </w:tc>
        <w:tc>
          <w:tcPr>
            <w:tcW w:type="dxa" w:w="15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b/>
                <w:bCs/>
                <w:color w:val="2A7F7F"/>
                <w:sz w:val="18"/>
                <w:szCs w:val="18"/>
              </w:rPr>
              <w:t xml:space="preserve">≈ 8–12</w:t>
            </w:r>
          </w:p>
        </w:tc>
        <w:tc>
          <w:tcPr>
            <w:tcW w:type="dxa" w:w="20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Pampa Argentine (WP-C3)</w:t>
            </w:r>
          </w:p>
        </w:tc>
        <w:tc>
          <w:tcPr>
            <w:tcW w:type="dxa" w:w="14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b/>
                <w:bCs/>
                <w:color w:val="1E6B3C"/>
                <w:sz w:val="18"/>
                <w:szCs w:val="18"/>
              </w:rPr>
              <w:t xml:space="preserve">H</w:t>
            </w:r>
          </w:p>
        </w:tc>
        <w:tc>
          <w:tcPr>
            <w:tcW w:type="dxa" w:w="1526"/>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
            </w:r>
          </w:p>
        </w:tc>
      </w:tr>
    </w:tbl>
    <w:p>
      <w:pPr>
        <w:spacing w:before="0" w:after="0"/>
        <w:jc w:val="left"/>
      </w:pPr>
      <w:r>
        <w:rPr>
          <w:rFonts w:ascii="Arial" w:cs="Arial" w:eastAsia="Arial" w:hAnsi="Arial"/>
          <w:color w:val="444444"/>
          <w:sz w:val="20"/>
          <w:szCs w:val="20"/>
        </w:rPr>
        <w:t xml:space="preserve"/>
      </w:r>
    </w:p>
    <w:p>
      <w:r>
        <w:br w:type="page"/>
      </w:r>
    </w:p>
    <w:p>
      <w:pPr>
        <w:pStyle w:val="Heading1"/>
        <w:spacing w:before="280" w:after="100"/>
      </w:pPr>
      <w:r>
        <w:rPr>
          <w:rFonts w:ascii="Arial" w:cs="Arial" w:eastAsia="Arial" w:hAnsi="Arial"/>
          <w:b/>
          <w:bCs/>
          <w:color w:val="1B3A5C"/>
          <w:sz w:val="36"/>
          <w:szCs w:val="36"/>
        </w:rPr>
        <w:t xml:space="preserve">5. Arbre de diagnostic P4 — Trajectoires institutionnelles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BDD4" w:sz="1"/>
              <w:left w:val="single" w:color="8B1A1A" w:sz="6"/>
              <w:bottom w:val="single" w:color="AABDD4" w:sz="1"/>
              <w:right w:val="single" w:color="AABDD4" w:sz="1"/>
            </w:tcBorders>
            <w:shd w:fill="EDF3FA" w:val="clear"/>
            <w:tcMar>
              <w:top w:type="dxa" w:w="80"/>
              <w:left w:type="dxa" w:w="200"/>
              <w:bottom w:type="dxa" w:w="80"/>
              <w:right w:type="dxa" w:w="120"/>
            </w:tcMar>
          </w:tcPr>
          <w:p>
            <w:pPr>
              <w:spacing w:before="0" w:after="0"/>
              <w:jc w:val="left"/>
            </w:pPr>
            <w:r>
              <w:rPr>
                <w:rFonts w:ascii="Arial" w:cs="Arial" w:eastAsia="Arial" w:hAnsi="Arial"/>
                <w:b/>
                <w:bCs/>
                <w:color w:val="8B1A1A"/>
                <w:sz w:val="18"/>
                <w:szCs w:val="18"/>
              </w:rPr>
              <w:t xml:space="preserve">Labels V6.2 — </w:t>
            </w:r>
            <w:r>
              <w:rPr>
                <w:rFonts w:ascii="Arial" w:cs="Arial" w:eastAsia="Arial" w:hAnsi="Arial"/>
                <w:color w:val="444444"/>
                <w:sz w:val="18"/>
                <w:szCs w:val="18"/>
              </w:rPr>
              <w:t xml:space="preserve">La liste ci-dessous est la nomenclature officielle. La trajectoire (f) Mutation dirigée est maintenue dans ce cadre théorique comme concept analytique mais n'est PAS implémentée dans le pipeline V6.2 (décision Architecture Mars 2026). (γ) remplace l'ancienne notation (g) — conformité D6.</w:t>
            </w:r>
          </w:p>
        </w:tc>
      </w:tr>
    </w:tbl>
    <w:p>
      <w:pPr>
        <w:spacing w:before="0" w:after="0"/>
        <w:jc w:val="left"/>
      </w:pPr>
      <w:r>
        <w:rPr>
          <w:rFonts w:ascii="Arial" w:cs="Arial" w:eastAsia="Arial" w:hAnsi="Arial"/>
          <w:color w:val="444444"/>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400"/>
        <w:gridCol w:w="3626"/>
      </w:tblGrid>
      <w:tr>
        <w:trPr>
          <w:tblHeader/>
        </w:trPr>
        <w:tc>
          <w:tcPr>
            <w:tcW w:type="dxa" w:w="1600"/>
            <w:tcBorders>
              <w:top w:val="single" w:color="AABDD4" w:sz="1"/>
              <w:left w:val="single" w:color="AABDD4" w:sz="1"/>
              <w:bottom w:val="single" w:color="AABDD4" w:sz="1"/>
              <w:right w:val="single" w:color="AABDD4" w:sz="1"/>
            </w:tcBorders>
            <w:shd w:fill="D5E8F0" w:val="clear"/>
            <w:tcMar>
              <w:top w:type="dxa" w:w="80"/>
              <w:left w:type="dxa" w:w="120"/>
              <w:bottom w:type="dxa" w:w="80"/>
              <w:right w:type="dxa" w:w="120"/>
            </w:tcMar>
          </w:tcPr>
          <w:p>
            <w:r>
              <w:rPr>
                <w:rFonts w:ascii="Arial" w:cs="Arial" w:eastAsia="Arial" w:hAnsi="Arial"/>
                <w:b/>
                <w:bCs/>
                <w:color w:val="1B3A5C"/>
                <w:sz w:val="18"/>
                <w:szCs w:val="18"/>
              </w:rPr>
              <w:t xml:space="preserve">Code</w:t>
            </w:r>
          </w:p>
        </w:tc>
        <w:tc>
          <w:tcPr>
            <w:tcW w:type="dxa" w:w="1400"/>
            <w:tcBorders>
              <w:top w:val="single" w:color="AABDD4" w:sz="1"/>
              <w:left w:val="single" w:color="AABDD4" w:sz="1"/>
              <w:bottom w:val="single" w:color="AABDD4" w:sz="1"/>
              <w:right w:val="single" w:color="AABDD4" w:sz="1"/>
            </w:tcBorders>
            <w:shd w:fill="D5E8F0" w:val="clear"/>
            <w:tcMar>
              <w:top w:type="dxa" w:w="80"/>
              <w:left w:type="dxa" w:w="120"/>
              <w:bottom w:type="dxa" w:w="80"/>
              <w:right w:type="dxa" w:w="120"/>
            </w:tcMar>
          </w:tcPr>
          <w:p>
            <w:r>
              <w:rPr>
                <w:rFonts w:ascii="Arial" w:cs="Arial" w:eastAsia="Arial" w:hAnsi="Arial"/>
                <w:b/>
                <w:bCs/>
                <w:color w:val="1B3A5C"/>
                <w:sz w:val="18"/>
                <w:szCs w:val="18"/>
              </w:rPr>
              <w:t xml:space="preserve">Condition F/R</w:t>
            </w:r>
          </w:p>
        </w:tc>
        <w:tc>
          <w:tcPr>
            <w:tcW w:type="dxa" w:w="2400"/>
            <w:tcBorders>
              <w:top w:val="single" w:color="AABDD4" w:sz="1"/>
              <w:left w:val="single" w:color="AABDD4" w:sz="1"/>
              <w:bottom w:val="single" w:color="AABDD4" w:sz="1"/>
              <w:right w:val="single" w:color="AABDD4" w:sz="1"/>
            </w:tcBorders>
            <w:shd w:fill="D5E8F0" w:val="clear"/>
            <w:tcMar>
              <w:top w:type="dxa" w:w="80"/>
              <w:left w:type="dxa" w:w="120"/>
              <w:bottom w:type="dxa" w:w="80"/>
              <w:right w:type="dxa" w:w="120"/>
            </w:tcMar>
          </w:tcPr>
          <w:p>
            <w:r>
              <w:rPr>
                <w:rFonts w:ascii="Arial" w:cs="Arial" w:eastAsia="Arial" w:hAnsi="Arial"/>
                <w:b/>
                <w:bCs/>
                <w:color w:val="1B3A5C"/>
                <w:sz w:val="18"/>
                <w:szCs w:val="18"/>
              </w:rPr>
              <w:t xml:space="preserve">Mécanisme dominant</w:t>
            </w:r>
          </w:p>
        </w:tc>
        <w:tc>
          <w:tcPr>
            <w:tcW w:type="dxa" w:w="3626"/>
            <w:tcBorders>
              <w:top w:val="single" w:color="AABDD4" w:sz="1"/>
              <w:left w:val="single" w:color="AABDD4" w:sz="1"/>
              <w:bottom w:val="single" w:color="AABDD4" w:sz="1"/>
              <w:right w:val="single" w:color="AABDD4" w:sz="1"/>
            </w:tcBorders>
            <w:shd w:fill="D5E8F0" w:val="clear"/>
            <w:tcMar>
              <w:top w:type="dxa" w:w="80"/>
              <w:left w:type="dxa" w:w="120"/>
              <w:bottom w:type="dxa" w:w="80"/>
              <w:right w:type="dxa" w:w="120"/>
            </w:tcMar>
          </w:tcPr>
          <w:p>
            <w:r>
              <w:rPr>
                <w:rFonts w:ascii="Arial" w:cs="Arial" w:eastAsia="Arial" w:hAnsi="Arial"/>
                <w:b/>
                <w:bCs/>
                <w:color w:val="1B3A5C"/>
                <w:sz w:val="18"/>
                <w:szCs w:val="18"/>
              </w:rPr>
              <w:t xml:space="preserve">WP de référence</w:t>
            </w:r>
          </w:p>
        </w:tc>
      </w:tr>
      <w:tr>
        <w:tc>
          <w:tcPr>
            <w:tcW w:type="dxa" w:w="16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b/>
                <w:bCs/>
                <w:color w:val="1B3A5C"/>
                <w:sz w:val="17"/>
                <w:szCs w:val="17"/>
              </w:rPr>
              <w:t xml:space="preserve">(a) Rupture transformatrice</w:t>
            </w:r>
          </w:p>
        </w:tc>
        <w:tc>
          <w:tcPr>
            <w:tcW w:type="dxa" w:w="14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F &gt;&gt; R, bascule rapide</w:t>
            </w:r>
          </w:p>
        </w:tc>
        <w:tc>
          <w:tcPr>
            <w:tcW w:type="dxa" w:w="24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E_split + H_ind → γ + α_eff &gt; α_c</w:t>
            </w:r>
          </w:p>
        </w:tc>
        <w:tc>
          <w:tcPr>
            <w:tcW w:type="dxa" w:w="3626"/>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F7, F8, I2, C2</w:t>
            </w:r>
          </w:p>
        </w:tc>
      </w:tr>
      <w:tr>
        <w:tc>
          <w:tcPr>
            <w:tcW w:type="dxa" w:w="16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b/>
                <w:bCs/>
                <w:color w:val="1B3A5C"/>
                <w:sz w:val="17"/>
                <w:szCs w:val="17"/>
              </w:rPr>
              <w:t xml:space="preserve">(b) Répression réussie</w:t>
            </w:r>
          </w:p>
        </w:tc>
        <w:tc>
          <w:tcPr>
            <w:tcW w:type="dxa" w:w="14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17"/>
                <w:szCs w:val="17"/>
              </w:rPr>
              <w:t xml:space="preserve">F &lt; R, résistance active</w:t>
            </w:r>
          </w:p>
        </w:tc>
        <w:tc>
          <w:tcPr>
            <w:tcW w:type="dxa" w:w="24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17"/>
                <w:szCs w:val="17"/>
              </w:rPr>
              <w:t xml:space="preserve">A_r_c_eff ou A_r_ne_eff &gt; F − R_stat</w:t>
            </w:r>
          </w:p>
        </w:tc>
        <w:tc>
          <w:tcPr>
            <w:tcW w:type="dxa" w:w="3626"/>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17"/>
                <w:szCs w:val="17"/>
              </w:rPr>
              <w:t xml:space="preserve">I6, C2 Al-Sissi</w:t>
            </w:r>
          </w:p>
        </w:tc>
      </w:tr>
      <w:tr>
        <w:tc>
          <w:tcPr>
            <w:tcW w:type="dxa" w:w="16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b/>
                <w:bCs/>
                <w:color w:val="1B3A5C"/>
                <w:sz w:val="17"/>
                <w:szCs w:val="17"/>
              </w:rPr>
              <w:t xml:space="preserve">(c) Stase cyclique</w:t>
            </w:r>
          </w:p>
        </w:tc>
        <w:tc>
          <w:tcPr>
            <w:tcW w:type="dxa" w:w="14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F ≈ R, oscillation</w:t>
            </w:r>
          </w:p>
        </w:tc>
        <w:tc>
          <w:tcPr>
            <w:tcW w:type="dxa" w:w="24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EROI compensateur · δ_col élevé</w:t>
            </w:r>
          </w:p>
        </w:tc>
        <w:tc>
          <w:tcPr>
            <w:tcW w:type="dxa" w:w="3626"/>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F4, F5, C3</w:t>
            </w:r>
          </w:p>
        </w:tc>
      </w:tr>
      <w:tr>
        <w:tc>
          <w:tcPr>
            <w:tcW w:type="dxa" w:w="16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b/>
                <w:bCs/>
                <w:color w:val="1B3A5C"/>
                <w:sz w:val="17"/>
                <w:szCs w:val="17"/>
              </w:rPr>
              <w:t xml:space="preserve">(d) Effondrement progressif</w:t>
            </w:r>
          </w:p>
        </w:tc>
        <w:tc>
          <w:tcPr>
            <w:tcW w:type="dxa" w:w="14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17"/>
                <w:szCs w:val="17"/>
              </w:rPr>
              <w:t xml:space="preserve">R → 0 sans F suffisant</w:t>
            </w:r>
          </w:p>
        </w:tc>
        <w:tc>
          <w:tcPr>
            <w:tcW w:type="dxa" w:w="24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17"/>
                <w:szCs w:val="17"/>
              </w:rPr>
              <w:t xml:space="preserve">EROI → seuil · E_split fragmenté</w:t>
            </w:r>
          </w:p>
        </w:tc>
        <w:tc>
          <w:tcPr>
            <w:tcW w:type="dxa" w:w="3626"/>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17"/>
                <w:szCs w:val="17"/>
              </w:rPr>
              <w:t xml:space="preserve">F2, F3, C4</w:t>
            </w:r>
          </w:p>
        </w:tc>
      </w:tr>
      <w:tr>
        <w:tc>
          <w:tcPr>
            <w:tcW w:type="dxa" w:w="16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b/>
                <w:bCs/>
                <w:color w:val="1B3A5C"/>
                <w:sz w:val="17"/>
                <w:szCs w:val="17"/>
              </w:rPr>
              <w:t xml:space="preserve">(e) Réforme institutionnelle</w:t>
            </w:r>
          </w:p>
        </w:tc>
        <w:tc>
          <w:tcPr>
            <w:tcW w:type="dxa" w:w="14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F &gt; R_stat, résistance faible</w:t>
            </w:r>
          </w:p>
        </w:tc>
        <w:tc>
          <w:tcPr>
            <w:tcW w:type="dxa" w:w="24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A_i élevée · A_r_ne faible · Sa nucléaire</w:t>
            </w:r>
          </w:p>
        </w:tc>
        <w:tc>
          <w:tcPr>
            <w:tcW w:type="dxa" w:w="3626"/>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F8 partiel, WP-C1 Haïti</w:t>
            </w:r>
          </w:p>
        </w:tc>
      </w:tr>
      <w:tr>
        <w:tc>
          <w:tcPr>
            <w:tcW w:type="dxa" w:w="16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b/>
                <w:bCs/>
                <w:color w:val="C47A1E"/>
                <w:sz w:val="17"/>
                <w:szCs w:val="17"/>
              </w:rPr>
              <w:t xml:space="preserve">(f) Mutation dirigée ★</w:t>
            </w:r>
          </w:p>
        </w:tc>
        <w:tc>
          <w:tcPr>
            <w:tcW w:type="dxa" w:w="14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17"/>
                <w:szCs w:val="17"/>
              </w:rPr>
              <w:t xml:space="preserve">F interne + G exogène fort</w:t>
            </w:r>
          </w:p>
        </w:tc>
        <w:tc>
          <w:tcPr>
            <w:tcW w:type="dxa" w:w="24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17"/>
                <w:szCs w:val="17"/>
              </w:rPr>
              <w:t xml:space="preserve">A_i exogène post-Q6 (MacArthur type) — CHANTIER V7</w:t>
            </w:r>
          </w:p>
        </w:tc>
        <w:tc>
          <w:tcPr>
            <w:tcW w:type="dxa" w:w="3626"/>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17"/>
                <w:szCs w:val="17"/>
              </w:rPr>
              <w:t xml:space="preserve">I3 post-1945 (hors t_max WP)</w:t>
            </w:r>
          </w:p>
        </w:tc>
      </w:tr>
      <w:tr>
        <w:tc>
          <w:tcPr>
            <w:tcW w:type="dxa" w:w="16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b/>
                <w:bCs/>
                <w:color w:val="1B3A5C"/>
                <w:sz w:val="17"/>
                <w:szCs w:val="17"/>
              </w:rPr>
              <w:t xml:space="preserve">(γ) Transformation forcée</w:t>
            </w:r>
          </w:p>
        </w:tc>
        <w:tc>
          <w:tcPr>
            <w:tcW w:type="dxa" w:w="14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Deux F concurrents</w:t>
            </w:r>
          </w:p>
        </w:tc>
        <w:tc>
          <w:tcPr>
            <w:tcW w:type="dxa" w:w="24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G_interne bifurqué · A_r_c des deux camps</w:t>
            </w:r>
          </w:p>
        </w:tc>
        <w:tc>
          <w:tcPr>
            <w:tcW w:type="dxa" w:w="3626"/>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I5, T1</w:t>
            </w:r>
          </w:p>
        </w:tc>
      </w:tr>
      <w:tr>
        <w:tc>
          <w:tcPr>
            <w:tcW w:type="dxa" w:w="16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b/>
                <w:bCs/>
                <w:color w:val="1B3A5C"/>
                <w:sz w:val="17"/>
                <w:szCs w:val="17"/>
              </w:rPr>
              <w:t xml:space="preserve">(h) Stabilité</w:t>
            </w:r>
          </w:p>
        </w:tc>
        <w:tc>
          <w:tcPr>
            <w:tcW w:type="dxa" w:w="14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17"/>
                <w:szCs w:val="17"/>
              </w:rPr>
              <w:t xml:space="preserve">F &lt;&lt; R durablement</w:t>
            </w:r>
          </w:p>
        </w:tc>
        <w:tc>
          <w:tcPr>
            <w:tcW w:type="dxa" w:w="24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17"/>
                <w:szCs w:val="17"/>
              </w:rPr>
              <w:t xml:space="preserve">A_r_ne élevée OU EROI rentier</w:t>
            </w:r>
          </w:p>
        </w:tc>
        <w:tc>
          <w:tcPr>
            <w:tcW w:type="dxa" w:w="3626"/>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17"/>
                <w:szCs w:val="17"/>
              </w:rPr>
              <w:t xml:space="preserve">I8, I9, C5, C6</w:t>
            </w:r>
          </w:p>
        </w:tc>
      </w:tr>
    </w:tbl>
    <w:p>
      <w:pPr>
        <w:spacing w:before="60" w:after="60"/>
        <w:jc w:val="left"/>
      </w:pPr>
      <w:r>
        <w:rPr>
          <w:rFonts w:ascii="Arial" w:cs="Arial" w:eastAsia="Arial" w:hAnsi="Arial"/>
          <w:color w:val="444444"/>
          <w:sz w:val="20"/>
          <w:szCs w:val="20"/>
        </w:rPr>
        <w:t xml:space="preserve">★ (f) Mutation dirigée : concept théorique maintenu, non implémenté dans le pipeline V6.2. Voir Addendum §Chantiers V7.</w:t>
      </w:r>
    </w:p>
    <w:p>
      <w:pPr>
        <w:spacing w:before="0" w:after="0"/>
        <w:jc w:val="left"/>
      </w:pPr>
      <w:r>
        <w:rPr>
          <w:rFonts w:ascii="Arial" w:cs="Arial" w:eastAsia="Arial" w:hAnsi="Arial"/>
          <w:color w:val="444444"/>
          <w:sz w:val="20"/>
          <w:szCs w:val="20"/>
        </w:rPr>
        <w:t xml:space="preserve"/>
      </w:r>
    </w:p>
    <w:p>
      <w:r>
        <w:br w:type="page"/>
      </w:r>
    </w:p>
    <w:p>
      <w:pPr>
        <w:pStyle w:val="Heading1"/>
        <w:spacing w:before="280" w:after="100"/>
      </w:pPr>
      <w:r>
        <w:rPr>
          <w:rFonts w:ascii="Arial" w:cs="Arial" w:eastAsia="Arial" w:hAnsi="Arial"/>
          <w:b/>
          <w:bCs/>
          <w:color w:val="1B3A5C"/>
          <w:sz w:val="36"/>
          <w:szCs w:val="36"/>
        </w:rPr>
        <w:t xml:space="preserve">6. Programme des Working Papers V6.0 — 5 Clusters de stress-test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BDD4" w:sz="1"/>
              <w:left w:val="single" w:color="C47A1E" w:sz="6"/>
              <w:bottom w:val="single" w:color="AABDD4" w:sz="1"/>
              <w:right w:val="single" w:color="AABDD4" w:sz="1"/>
            </w:tcBorders>
            <w:shd w:fill="EDF3FA" w:val="clear"/>
            <w:tcMar>
              <w:top w:type="dxa" w:w="80"/>
              <w:left w:type="dxa" w:w="200"/>
              <w:bottom w:type="dxa" w:w="80"/>
              <w:right w:type="dxa" w:w="120"/>
            </w:tcMar>
          </w:tcPr>
          <w:p>
            <w:pPr>
              <w:spacing w:before="0" w:after="0"/>
              <w:jc w:val="left"/>
            </w:pPr>
            <w:r>
              <w:rPr>
                <w:rFonts w:ascii="Arial" w:cs="Arial" w:eastAsia="Arial" w:hAnsi="Arial"/>
                <w:b/>
                <w:bCs/>
                <w:color w:val="C47A1E"/>
                <w:sz w:val="18"/>
                <w:szCs w:val="18"/>
              </w:rPr>
              <w:t xml:space="preserve">Correspondance avec le corpus V6.2 — </w:t>
            </w:r>
            <w:r>
              <w:rPr>
                <w:rFonts w:ascii="Arial" w:cs="Arial" w:eastAsia="Arial" w:hAnsi="Arial"/>
                <w:color w:val="444444"/>
                <w:sz w:val="18"/>
                <w:szCs w:val="18"/>
              </w:rPr>
              <w:t xml:space="preserve">La V6.0 décrit 5 Clusters thématiques de 5 WP (25 WP). Le Guide Méthodologique V6.2 et la Stratification V6.2 opèrent avec 27 WP organisés en 4 Arcs et 3 zones de vérification. Les Clusters C1–C5 ci-dessous correspondent aux règles de paramétrage par cluster du Guide §3. La numérotation WP-C1-x à WP-C5-x est la nomenclature du cadre théorique (distincte des identifiants opérationnels WP-F1 à WP-C6).</w:t>
            </w:r>
          </w:p>
        </w:tc>
      </w:tr>
    </w:tbl>
    <w:p>
      <w:pPr>
        <w:spacing w:before="0" w:after="0"/>
        <w:jc w:val="left"/>
      </w:pPr>
      <w:r>
        <w:rPr>
          <w:rFonts w:ascii="Arial" w:cs="Arial" w:eastAsia="Arial" w:hAnsi="Arial"/>
          <w:color w:val="444444"/>
          <w:sz w:val="20"/>
          <w:szCs w:val="20"/>
        </w:rPr>
        <w:t xml:space="preserve"/>
      </w:r>
    </w:p>
    <w:p>
      <w:pPr>
        <w:pStyle w:val="Heading2"/>
        <w:spacing w:before="220" w:after="80"/>
      </w:pPr>
      <w:r>
        <w:rPr>
          <w:rFonts w:ascii="Arial" w:cs="Arial" w:eastAsia="Arial" w:hAnsi="Arial"/>
          <w:b/>
          <w:bCs/>
          <w:color w:val="2E6DA4"/>
          <w:sz w:val="28"/>
          <w:szCs w:val="28"/>
        </w:rPr>
        <w:t xml:space="preserve">6.1 Tableau des 25 WP par Cluster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1200"/>
        <w:gridCol w:w="1400"/>
        <w:gridCol w:w="3826"/>
      </w:tblGrid>
      <w:tr>
        <w:trPr>
          <w:tblHeader/>
        </w:trPr>
        <w:tc>
          <w:tcPr>
            <w:tcW w:type="dxa" w:w="1000"/>
            <w:tcBorders>
              <w:top w:val="single" w:color="AABDD4" w:sz="1"/>
              <w:left w:val="single" w:color="AABDD4" w:sz="1"/>
              <w:bottom w:val="single" w:color="AABDD4" w:sz="1"/>
              <w:right w:val="single" w:color="AABDD4" w:sz="1"/>
            </w:tcBorders>
            <w:shd w:fill="D5E8F0" w:val="clear"/>
            <w:tcMar>
              <w:top w:type="dxa" w:w="80"/>
              <w:left w:type="dxa" w:w="120"/>
              <w:bottom w:type="dxa" w:w="80"/>
              <w:right w:type="dxa" w:w="120"/>
            </w:tcMar>
          </w:tcPr>
          <w:p>
            <w:r>
              <w:rPr>
                <w:rFonts w:ascii="Arial" w:cs="Arial" w:eastAsia="Arial" w:hAnsi="Arial"/>
                <w:b/>
                <w:bCs/>
                <w:color w:val="1B3A5C"/>
                <w:sz w:val="18"/>
                <w:szCs w:val="18"/>
              </w:rPr>
              <w:t xml:space="preserve">WP</w:t>
            </w:r>
          </w:p>
        </w:tc>
        <w:tc>
          <w:tcPr>
            <w:tcW w:type="dxa" w:w="2600"/>
            <w:tcBorders>
              <w:top w:val="single" w:color="AABDD4" w:sz="1"/>
              <w:left w:val="single" w:color="AABDD4" w:sz="1"/>
              <w:bottom w:val="single" w:color="AABDD4" w:sz="1"/>
              <w:right w:val="single" w:color="AABDD4" w:sz="1"/>
            </w:tcBorders>
            <w:shd w:fill="D5E8F0" w:val="clear"/>
            <w:tcMar>
              <w:top w:type="dxa" w:w="80"/>
              <w:left w:type="dxa" w:w="120"/>
              <w:bottom w:type="dxa" w:w="80"/>
              <w:right w:type="dxa" w:w="120"/>
            </w:tcMar>
          </w:tcPr>
          <w:p>
            <w:r>
              <w:rPr>
                <w:rFonts w:ascii="Arial" w:cs="Arial" w:eastAsia="Arial" w:hAnsi="Arial"/>
                <w:b/>
                <w:bCs/>
                <w:color w:val="1B3A5C"/>
                <w:sz w:val="18"/>
                <w:szCs w:val="18"/>
              </w:rPr>
              <w:t xml:space="preserve">Cas</w:t>
            </w:r>
          </w:p>
        </w:tc>
        <w:tc>
          <w:tcPr>
            <w:tcW w:type="dxa" w:w="1200"/>
            <w:tcBorders>
              <w:top w:val="single" w:color="AABDD4" w:sz="1"/>
              <w:left w:val="single" w:color="AABDD4" w:sz="1"/>
              <w:bottom w:val="single" w:color="AABDD4" w:sz="1"/>
              <w:right w:val="single" w:color="AABDD4" w:sz="1"/>
            </w:tcBorders>
            <w:shd w:fill="D5E8F0" w:val="clear"/>
            <w:tcMar>
              <w:top w:type="dxa" w:w="80"/>
              <w:left w:type="dxa" w:w="120"/>
              <w:bottom w:type="dxa" w:w="80"/>
              <w:right w:type="dxa" w:w="120"/>
            </w:tcMar>
          </w:tcPr>
          <w:p>
            <w:r>
              <w:rPr>
                <w:rFonts w:ascii="Arial" w:cs="Arial" w:eastAsia="Arial" w:hAnsi="Arial"/>
                <w:b/>
                <w:bCs/>
                <w:color w:val="1B3A5C"/>
                <w:sz w:val="18"/>
                <w:szCs w:val="18"/>
              </w:rPr>
              <w:t xml:space="preserve">Arc N0</w:t>
            </w:r>
          </w:p>
        </w:tc>
        <w:tc>
          <w:tcPr>
            <w:tcW w:type="dxa" w:w="1400"/>
            <w:tcBorders>
              <w:top w:val="single" w:color="AABDD4" w:sz="1"/>
              <w:left w:val="single" w:color="AABDD4" w:sz="1"/>
              <w:bottom w:val="single" w:color="AABDD4" w:sz="1"/>
              <w:right w:val="single" w:color="AABDD4" w:sz="1"/>
            </w:tcBorders>
            <w:shd w:fill="D5E8F0" w:val="clear"/>
            <w:tcMar>
              <w:top w:type="dxa" w:w="80"/>
              <w:left w:type="dxa" w:w="120"/>
              <w:bottom w:type="dxa" w:w="80"/>
              <w:right w:type="dxa" w:w="120"/>
            </w:tcMar>
          </w:tcPr>
          <w:p>
            <w:r>
              <w:rPr>
                <w:rFonts w:ascii="Arial" w:cs="Arial" w:eastAsia="Arial" w:hAnsi="Arial"/>
                <w:b/>
                <w:bCs/>
                <w:color w:val="1B3A5C"/>
                <w:sz w:val="18"/>
                <w:szCs w:val="18"/>
              </w:rPr>
              <w:t xml:space="preserve">Variable testée</w:t>
            </w:r>
          </w:p>
        </w:tc>
        <w:tc>
          <w:tcPr>
            <w:tcW w:type="dxa" w:w="3826"/>
            <w:tcBorders>
              <w:top w:val="single" w:color="AABDD4" w:sz="1"/>
              <w:left w:val="single" w:color="AABDD4" w:sz="1"/>
              <w:bottom w:val="single" w:color="AABDD4" w:sz="1"/>
              <w:right w:val="single" w:color="AABDD4" w:sz="1"/>
            </w:tcBorders>
            <w:shd w:fill="D5E8F0" w:val="clear"/>
            <w:tcMar>
              <w:top w:type="dxa" w:w="80"/>
              <w:left w:type="dxa" w:w="120"/>
              <w:bottom w:type="dxa" w:w="80"/>
              <w:right w:type="dxa" w:w="120"/>
            </w:tcMar>
          </w:tcPr>
          <w:p>
            <w:r>
              <w:rPr>
                <w:rFonts w:ascii="Arial" w:cs="Arial" w:eastAsia="Arial" w:hAnsi="Arial"/>
                <w:b/>
                <w:bCs/>
                <w:color w:val="1B3A5C"/>
                <w:sz w:val="18"/>
                <w:szCs w:val="18"/>
              </w:rPr>
              <w:t xml:space="preserve">Trajectoire attendue</w:t>
            </w:r>
          </w:p>
        </w:tc>
      </w:tr>
      <w:tr>
        <w:tc>
          <w:tcPr>
            <w:tcW w:type="dxa" w:w="10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Courier New" w:cs="Courier New" w:eastAsia="Courier New" w:hAnsi="Courier New"/>
                <w:color w:val="1B3A5C"/>
                <w:sz w:val="18"/>
                <w:szCs w:val="18"/>
              </w:rPr>
              <w:t xml:space="preserve">WP-C1-1</w:t>
            </w:r>
          </w:p>
        </w:tc>
        <w:tc>
          <w:tcPr>
            <w:tcW w:type="dxa" w:w="26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Rome — Crise du IIIe siècle</w:t>
            </w:r>
          </w:p>
        </w:tc>
        <w:tc>
          <w:tcPr>
            <w:tcW w:type="dxa" w:w="12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Fondateur</w:t>
            </w:r>
          </w:p>
        </w:tc>
        <w:tc>
          <w:tcPr>
            <w:tcW w:type="dxa" w:w="14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EROI / A_d_max</w:t>
            </w:r>
          </w:p>
        </w:tc>
        <w:tc>
          <w:tcPr>
            <w:tcW w:type="dxa" w:w="3826"/>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b/>
                <w:bCs/>
                <w:color w:val="2A7F7F"/>
                <w:sz w:val="17"/>
                <w:szCs w:val="17"/>
              </w:rPr>
              <w:t xml:space="preserve">(c)→(d)</w:t>
            </w:r>
          </w:p>
        </w:tc>
      </w:tr>
      <w:tr>
        <w:tc>
          <w:tcPr>
            <w:tcW w:type="dxa" w:w="10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Courier New" w:cs="Courier New" w:eastAsia="Courier New" w:hAnsi="Courier New"/>
                <w:color w:val="1B3A5C"/>
                <w:sz w:val="18"/>
                <w:szCs w:val="18"/>
              </w:rPr>
              <w:t xml:space="preserve">WP-C1-2</w:t>
            </w:r>
          </w:p>
        </w:tc>
        <w:tc>
          <w:tcPr>
            <w:tcW w:type="dxa" w:w="26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17"/>
                <w:szCs w:val="17"/>
              </w:rPr>
              <w:t xml:space="preserve">Empire Ottoman 1900–1922</w:t>
            </w:r>
          </w:p>
        </w:tc>
        <w:tc>
          <w:tcPr>
            <w:tcW w:type="dxa" w:w="12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17"/>
                <w:szCs w:val="17"/>
              </w:rPr>
              <w:t xml:space="preserve">Industriel</w:t>
            </w:r>
          </w:p>
        </w:tc>
        <w:tc>
          <w:tcPr>
            <w:tcW w:type="dxa" w:w="14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17"/>
                <w:szCs w:val="17"/>
              </w:rPr>
              <w:t xml:space="preserve">EROI / rendement</w:t>
            </w:r>
          </w:p>
        </w:tc>
        <w:tc>
          <w:tcPr>
            <w:tcW w:type="dxa" w:w="3826"/>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b/>
                <w:bCs/>
                <w:color w:val="2A7F7F"/>
                <w:sz w:val="17"/>
                <w:szCs w:val="17"/>
              </w:rPr>
              <w:t xml:space="preserve">(c)→(d)</w:t>
            </w:r>
          </w:p>
        </w:tc>
      </w:tr>
      <w:tr>
        <w:tc>
          <w:tcPr>
            <w:tcW w:type="dxa" w:w="10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Courier New" w:cs="Courier New" w:eastAsia="Courier New" w:hAnsi="Courier New"/>
                <w:color w:val="1B3A5C"/>
                <w:sz w:val="18"/>
                <w:szCs w:val="18"/>
              </w:rPr>
              <w:t xml:space="preserve">WP-C1-3</w:t>
            </w:r>
          </w:p>
        </w:tc>
        <w:tc>
          <w:tcPr>
            <w:tcW w:type="dxa" w:w="26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URSS 1980–1991</w:t>
            </w:r>
          </w:p>
        </w:tc>
        <w:tc>
          <w:tcPr>
            <w:tcW w:type="dxa" w:w="12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Industriel</w:t>
            </w:r>
          </w:p>
        </w:tc>
        <w:tc>
          <w:tcPr>
            <w:tcW w:type="dxa" w:w="14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EROI / rendement</w:t>
            </w:r>
          </w:p>
        </w:tc>
        <w:tc>
          <w:tcPr>
            <w:tcW w:type="dxa" w:w="3826"/>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b/>
                <w:bCs/>
                <w:color w:val="2A7F7F"/>
                <w:sz w:val="17"/>
                <w:szCs w:val="17"/>
              </w:rPr>
              <w:t xml:space="preserve">(c)→(d)</w:t>
            </w:r>
          </w:p>
        </w:tc>
      </w:tr>
      <w:tr>
        <w:tc>
          <w:tcPr>
            <w:tcW w:type="dxa" w:w="10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Courier New" w:cs="Courier New" w:eastAsia="Courier New" w:hAnsi="Courier New"/>
                <w:color w:val="1B3A5C"/>
                <w:sz w:val="18"/>
                <w:szCs w:val="18"/>
              </w:rPr>
              <w:t xml:space="preserve">WP-C1-4</w:t>
            </w:r>
          </w:p>
        </w:tc>
        <w:tc>
          <w:tcPr>
            <w:tcW w:type="dxa" w:w="26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17"/>
                <w:szCs w:val="17"/>
              </w:rPr>
              <w:t xml:space="preserve">Liban 2019–2026 Δτ</w:t>
            </w:r>
          </w:p>
        </w:tc>
        <w:tc>
          <w:tcPr>
            <w:tcW w:type="dxa" w:w="12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17"/>
                <w:szCs w:val="17"/>
              </w:rPr>
              <w:t xml:space="preserve">Contemporain</w:t>
            </w:r>
          </w:p>
        </w:tc>
        <w:tc>
          <w:tcPr>
            <w:tcW w:type="dxa" w:w="14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17"/>
                <w:szCs w:val="17"/>
              </w:rPr>
              <w:t xml:space="preserve">EROI / rendement</w:t>
            </w:r>
          </w:p>
        </w:tc>
        <w:tc>
          <w:tcPr>
            <w:tcW w:type="dxa" w:w="3826"/>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b/>
                <w:bCs/>
                <w:color w:val="2A7F7F"/>
                <w:sz w:val="17"/>
                <w:szCs w:val="17"/>
              </w:rPr>
              <w:t xml:space="preserve">(d) lente</w:t>
            </w:r>
          </w:p>
        </w:tc>
      </w:tr>
      <w:tr>
        <w:tc>
          <w:tcPr>
            <w:tcW w:type="dxa" w:w="10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Courier New" w:cs="Courier New" w:eastAsia="Courier New" w:hAnsi="Courier New"/>
                <w:color w:val="1B3A5C"/>
                <w:sz w:val="18"/>
                <w:szCs w:val="18"/>
              </w:rPr>
              <w:t xml:space="preserve">WP-C1-5</w:t>
            </w:r>
          </w:p>
        </w:tc>
        <w:tc>
          <w:tcPr>
            <w:tcW w:type="dxa" w:w="26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Angleterre 1789–1848 (contrôle)</w:t>
            </w:r>
          </w:p>
        </w:tc>
        <w:tc>
          <w:tcPr>
            <w:tcW w:type="dxa" w:w="12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Fondateur</w:t>
            </w:r>
          </w:p>
        </w:tc>
        <w:tc>
          <w:tcPr>
            <w:tcW w:type="dxa" w:w="14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EROI élevé → (h)</w:t>
            </w:r>
          </w:p>
        </w:tc>
        <w:tc>
          <w:tcPr>
            <w:tcW w:type="dxa" w:w="3826"/>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b/>
                <w:bCs/>
                <w:color w:val="2A7F7F"/>
                <w:sz w:val="17"/>
                <w:szCs w:val="17"/>
              </w:rPr>
              <w:t xml:space="preserve">(h)</w:t>
            </w:r>
          </w:p>
        </w:tc>
      </w:tr>
      <w:tr>
        <w:tc>
          <w:tcPr>
            <w:tcW w:type="dxa" w:w="10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Courier New" w:cs="Courier New" w:eastAsia="Courier New" w:hAnsi="Courier New"/>
                <w:color w:val="1B3A5C"/>
                <w:sz w:val="18"/>
                <w:szCs w:val="18"/>
              </w:rPr>
              <w:t xml:space="preserve">WP-C2-1</w:t>
            </w:r>
          </w:p>
        </w:tc>
        <w:tc>
          <w:tcPr>
            <w:tcW w:type="dxa" w:w="26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17"/>
                <w:szCs w:val="17"/>
              </w:rPr>
              <w:t xml:space="preserve">Révolution française 1789</w:t>
            </w:r>
          </w:p>
        </w:tc>
        <w:tc>
          <w:tcPr>
            <w:tcW w:type="dxa" w:w="12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17"/>
                <w:szCs w:val="17"/>
              </w:rPr>
              <w:t xml:space="preserve">Fondateur</w:t>
            </w:r>
          </w:p>
        </w:tc>
        <w:tc>
          <w:tcPr>
            <w:tcW w:type="dxa" w:w="14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17"/>
                <w:szCs w:val="17"/>
              </w:rPr>
              <w:t xml:space="preserve">γ / E_split</w:t>
            </w:r>
          </w:p>
        </w:tc>
        <w:tc>
          <w:tcPr>
            <w:tcW w:type="dxa" w:w="3826"/>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b/>
                <w:bCs/>
                <w:color w:val="2A7F7F"/>
                <w:sz w:val="17"/>
                <w:szCs w:val="17"/>
              </w:rPr>
              <w:t xml:space="preserve">(a)</w:t>
            </w:r>
          </w:p>
        </w:tc>
      </w:tr>
      <w:tr>
        <w:tc>
          <w:tcPr>
            <w:tcW w:type="dxa" w:w="10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Courier New" w:cs="Courier New" w:eastAsia="Courier New" w:hAnsi="Courier New"/>
                <w:color w:val="1B3A5C"/>
                <w:sz w:val="18"/>
                <w:szCs w:val="18"/>
              </w:rPr>
              <w:t xml:space="preserve">WP-C2-2</w:t>
            </w:r>
          </w:p>
        </w:tc>
        <w:tc>
          <w:tcPr>
            <w:tcW w:type="dxa" w:w="26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Restauration Meiji 1868</w:t>
            </w:r>
          </w:p>
        </w:tc>
        <w:tc>
          <w:tcPr>
            <w:tcW w:type="dxa" w:w="12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Fondateur/Trans.</w:t>
            </w:r>
          </w:p>
        </w:tc>
        <w:tc>
          <w:tcPr>
            <w:tcW w:type="dxa" w:w="14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γ / E_split</w:t>
            </w:r>
          </w:p>
        </w:tc>
        <w:tc>
          <w:tcPr>
            <w:tcW w:type="dxa" w:w="3826"/>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b/>
                <w:bCs/>
                <w:color w:val="2A7F7F"/>
                <w:sz w:val="17"/>
                <w:szCs w:val="17"/>
              </w:rPr>
              <w:t xml:space="preserve">(a)→(e)</w:t>
            </w:r>
          </w:p>
        </w:tc>
      </w:tr>
      <w:tr>
        <w:tc>
          <w:tcPr>
            <w:tcW w:type="dxa" w:w="10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Courier New" w:cs="Courier New" w:eastAsia="Courier New" w:hAnsi="Courier New"/>
                <w:color w:val="1B3A5C"/>
                <w:sz w:val="18"/>
                <w:szCs w:val="18"/>
              </w:rPr>
              <w:t xml:space="preserve">WP-C2-3</w:t>
            </w:r>
          </w:p>
        </w:tc>
        <w:tc>
          <w:tcPr>
            <w:tcW w:type="dxa" w:w="26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17"/>
                <w:szCs w:val="17"/>
              </w:rPr>
              <w:t xml:space="preserve">Révolution russe 1917</w:t>
            </w:r>
          </w:p>
        </w:tc>
        <w:tc>
          <w:tcPr>
            <w:tcW w:type="dxa" w:w="12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17"/>
                <w:szCs w:val="17"/>
              </w:rPr>
              <w:t xml:space="preserve">Industriel</w:t>
            </w:r>
          </w:p>
        </w:tc>
        <w:tc>
          <w:tcPr>
            <w:tcW w:type="dxa" w:w="14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17"/>
                <w:szCs w:val="17"/>
              </w:rPr>
              <w:t xml:space="preserve">γ / E_split</w:t>
            </w:r>
          </w:p>
        </w:tc>
        <w:tc>
          <w:tcPr>
            <w:tcW w:type="dxa" w:w="3826"/>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b/>
                <w:bCs/>
                <w:color w:val="2A7F7F"/>
                <w:sz w:val="17"/>
                <w:szCs w:val="17"/>
              </w:rPr>
              <w:t xml:space="preserve">(a) double</w:t>
            </w:r>
          </w:p>
        </w:tc>
      </w:tr>
      <w:tr>
        <w:tc>
          <w:tcPr>
            <w:tcW w:type="dxa" w:w="10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Courier New" w:cs="Courier New" w:eastAsia="Courier New" w:hAnsi="Courier New"/>
                <w:color w:val="1B3A5C"/>
                <w:sz w:val="18"/>
                <w:szCs w:val="18"/>
              </w:rPr>
              <w:t xml:space="preserve">WP-C2-4</w:t>
            </w:r>
          </w:p>
        </w:tc>
        <w:tc>
          <w:tcPr>
            <w:tcW w:type="dxa" w:w="26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Égypte 2011</w:t>
            </w:r>
          </w:p>
        </w:tc>
        <w:tc>
          <w:tcPr>
            <w:tcW w:type="dxa" w:w="12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Contemporain</w:t>
            </w:r>
          </w:p>
        </w:tc>
        <w:tc>
          <w:tcPr>
            <w:tcW w:type="dxa" w:w="14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γ / E_split</w:t>
            </w:r>
          </w:p>
        </w:tc>
        <w:tc>
          <w:tcPr>
            <w:tcW w:type="dxa" w:w="3826"/>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b/>
                <w:bCs/>
                <w:color w:val="2A7F7F"/>
                <w:sz w:val="17"/>
                <w:szCs w:val="17"/>
              </w:rPr>
              <w:t xml:space="preserve">(a)→(b)</w:t>
            </w:r>
          </w:p>
        </w:tc>
      </w:tr>
      <w:tr>
        <w:tc>
          <w:tcPr>
            <w:tcW w:type="dxa" w:w="10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Courier New" w:cs="Courier New" w:eastAsia="Courier New" w:hAnsi="Courier New"/>
                <w:color w:val="1B3A5C"/>
                <w:sz w:val="18"/>
                <w:szCs w:val="18"/>
              </w:rPr>
              <w:t xml:space="preserve">WP-C2-5</w:t>
            </w:r>
          </w:p>
        </w:tc>
        <w:tc>
          <w:tcPr>
            <w:tcW w:type="dxa" w:w="26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17"/>
                <w:szCs w:val="17"/>
              </w:rPr>
              <w:t xml:space="preserve">Argentine 2023 (contrôle)</w:t>
            </w:r>
          </w:p>
        </w:tc>
        <w:tc>
          <w:tcPr>
            <w:tcW w:type="dxa" w:w="12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17"/>
                <w:szCs w:val="17"/>
              </w:rPr>
              <w:t xml:space="preserve">Contemporain</w:t>
            </w:r>
          </w:p>
        </w:tc>
        <w:tc>
          <w:tcPr>
            <w:tcW w:type="dxa" w:w="14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17"/>
                <w:szCs w:val="17"/>
              </w:rPr>
              <w:t xml:space="preserve">γ faible → (a) élect.</w:t>
            </w:r>
          </w:p>
        </w:tc>
        <w:tc>
          <w:tcPr>
            <w:tcW w:type="dxa" w:w="3826"/>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b/>
                <w:bCs/>
                <w:color w:val="2A7F7F"/>
                <w:sz w:val="17"/>
                <w:szCs w:val="17"/>
              </w:rPr>
              <w:t xml:space="preserve">(c)/(a) élect.</w:t>
            </w:r>
          </w:p>
        </w:tc>
      </w:tr>
      <w:tr>
        <w:tc>
          <w:tcPr>
            <w:tcW w:type="dxa" w:w="10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Courier New" w:cs="Courier New" w:eastAsia="Courier New" w:hAnsi="Courier New"/>
                <w:color w:val="1B3A5C"/>
                <w:sz w:val="18"/>
                <w:szCs w:val="18"/>
              </w:rPr>
              <w:t xml:space="preserve">WP-C3-1</w:t>
            </w:r>
          </w:p>
        </w:tc>
        <w:tc>
          <w:tcPr>
            <w:tcW w:type="dxa" w:w="26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Angleterre 1848</w:t>
            </w:r>
          </w:p>
        </w:tc>
        <w:tc>
          <w:tcPr>
            <w:tcW w:type="dxa" w:w="12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Fondateur</w:t>
            </w:r>
          </w:p>
        </w:tc>
        <w:tc>
          <w:tcPr>
            <w:tcW w:type="dxa" w:w="14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Sa / Q2 viscosité</w:t>
            </w:r>
          </w:p>
        </w:tc>
        <w:tc>
          <w:tcPr>
            <w:tcW w:type="dxa" w:w="3826"/>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b/>
                <w:bCs/>
                <w:color w:val="2A7F7F"/>
                <w:sz w:val="17"/>
                <w:szCs w:val="17"/>
              </w:rPr>
              <w:t xml:space="preserve">(h)/(c)</w:t>
            </w:r>
          </w:p>
        </w:tc>
      </w:tr>
      <w:tr>
        <w:tc>
          <w:tcPr>
            <w:tcW w:type="dxa" w:w="10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Courier New" w:cs="Courier New" w:eastAsia="Courier New" w:hAnsi="Courier New"/>
                <w:color w:val="1B3A5C"/>
                <w:sz w:val="18"/>
                <w:szCs w:val="18"/>
              </w:rPr>
              <w:t xml:space="preserve">WP-C3-2</w:t>
            </w:r>
          </w:p>
        </w:tc>
        <w:tc>
          <w:tcPr>
            <w:tcW w:type="dxa" w:w="26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17"/>
                <w:szCs w:val="17"/>
              </w:rPr>
              <w:t xml:space="preserve">Allemagne 1918–1933</w:t>
            </w:r>
          </w:p>
        </w:tc>
        <w:tc>
          <w:tcPr>
            <w:tcW w:type="dxa" w:w="12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17"/>
                <w:szCs w:val="17"/>
              </w:rPr>
              <w:t xml:space="preserve">Industriel</w:t>
            </w:r>
          </w:p>
        </w:tc>
        <w:tc>
          <w:tcPr>
            <w:tcW w:type="dxa" w:w="14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17"/>
                <w:szCs w:val="17"/>
              </w:rPr>
              <w:t xml:space="preserve">Sa / Q2</w:t>
            </w:r>
          </w:p>
        </w:tc>
        <w:tc>
          <w:tcPr>
            <w:tcW w:type="dxa" w:w="3826"/>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b/>
                <w:bCs/>
                <w:color w:val="2A7F7F"/>
                <w:sz w:val="17"/>
                <w:szCs w:val="17"/>
              </w:rPr>
              <w:t xml:space="preserve">(c)→(a) fasciste</w:t>
            </w:r>
          </w:p>
        </w:tc>
      </w:tr>
      <w:tr>
        <w:tc>
          <w:tcPr>
            <w:tcW w:type="dxa" w:w="10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Courier New" w:cs="Courier New" w:eastAsia="Courier New" w:hAnsi="Courier New"/>
                <w:color w:val="1B3A5C"/>
                <w:sz w:val="18"/>
                <w:szCs w:val="18"/>
              </w:rPr>
              <w:t xml:space="preserve">WP-C3-3</w:t>
            </w:r>
          </w:p>
        </w:tc>
        <w:tc>
          <w:tcPr>
            <w:tcW w:type="dxa" w:w="26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Iran 1979</w:t>
            </w:r>
          </w:p>
        </w:tc>
        <w:tc>
          <w:tcPr>
            <w:tcW w:type="dxa" w:w="12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Industriel</w:t>
            </w:r>
          </w:p>
        </w:tc>
        <w:tc>
          <w:tcPr>
            <w:tcW w:type="dxa" w:w="14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Sa / Q2</w:t>
            </w:r>
          </w:p>
        </w:tc>
        <w:tc>
          <w:tcPr>
            <w:tcW w:type="dxa" w:w="3826"/>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b/>
                <w:bCs/>
                <w:color w:val="2A7F7F"/>
                <w:sz w:val="17"/>
                <w:szCs w:val="17"/>
              </w:rPr>
              <w:t xml:space="preserve">(a)→(h)</w:t>
            </w:r>
          </w:p>
        </w:tc>
      </w:tr>
      <w:tr>
        <w:tc>
          <w:tcPr>
            <w:tcW w:type="dxa" w:w="10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Courier New" w:cs="Courier New" w:eastAsia="Courier New" w:hAnsi="Courier New"/>
                <w:color w:val="1B3A5C"/>
                <w:sz w:val="18"/>
                <w:szCs w:val="18"/>
              </w:rPr>
              <w:t xml:space="preserve">WP-C3-4</w:t>
            </w:r>
          </w:p>
        </w:tc>
        <w:tc>
          <w:tcPr>
            <w:tcW w:type="dxa" w:w="26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17"/>
                <w:szCs w:val="17"/>
              </w:rPr>
              <w:t xml:space="preserve">Chine post-Tiananmen</w:t>
            </w:r>
          </w:p>
        </w:tc>
        <w:tc>
          <w:tcPr>
            <w:tcW w:type="dxa" w:w="12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17"/>
                <w:szCs w:val="17"/>
              </w:rPr>
              <w:t xml:space="preserve">Contemporain</w:t>
            </w:r>
          </w:p>
        </w:tc>
        <w:tc>
          <w:tcPr>
            <w:tcW w:type="dxa" w:w="14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17"/>
                <w:szCs w:val="17"/>
              </w:rPr>
              <w:t xml:space="preserve">Sa / Q2</w:t>
            </w:r>
          </w:p>
        </w:tc>
        <w:tc>
          <w:tcPr>
            <w:tcW w:type="dxa" w:w="3826"/>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b/>
                <w:bCs/>
                <w:color w:val="2A7F7F"/>
                <w:sz w:val="17"/>
                <w:szCs w:val="17"/>
              </w:rPr>
              <w:t xml:space="preserve">(b)→(h)</w:t>
            </w:r>
          </w:p>
        </w:tc>
      </w:tr>
      <w:tr>
        <w:tc>
          <w:tcPr>
            <w:tcW w:type="dxa" w:w="10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Courier New" w:cs="Courier New" w:eastAsia="Courier New" w:hAnsi="Courier New"/>
                <w:color w:val="1B3A5C"/>
                <w:sz w:val="18"/>
                <w:szCs w:val="18"/>
              </w:rPr>
              <w:t xml:space="preserve">WP-C3-5</w:t>
            </w:r>
          </w:p>
        </w:tc>
        <w:tc>
          <w:tcPr>
            <w:tcW w:type="dxa" w:w="26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Islande 2008–2013 (contrôle)</w:t>
            </w:r>
          </w:p>
        </w:tc>
        <w:tc>
          <w:tcPr>
            <w:tcW w:type="dxa" w:w="12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Contemporain</w:t>
            </w:r>
          </w:p>
        </w:tc>
        <w:tc>
          <w:tcPr>
            <w:tcW w:type="dxa" w:w="14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Sa nucléaire → (e)</w:t>
            </w:r>
          </w:p>
        </w:tc>
        <w:tc>
          <w:tcPr>
            <w:tcW w:type="dxa" w:w="3826"/>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b/>
                <w:bCs/>
                <w:color w:val="2A7F7F"/>
                <w:sz w:val="17"/>
                <w:szCs w:val="17"/>
              </w:rPr>
              <w:t xml:space="preserve">(e)</w:t>
            </w:r>
          </w:p>
        </w:tc>
      </w:tr>
      <w:tr>
        <w:tc>
          <w:tcPr>
            <w:tcW w:type="dxa" w:w="10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Courier New" w:cs="Courier New" w:eastAsia="Courier New" w:hAnsi="Courier New"/>
                <w:color w:val="1B3A5C"/>
                <w:sz w:val="18"/>
                <w:szCs w:val="18"/>
              </w:rPr>
              <w:t xml:space="preserve">WP-C4-1</w:t>
            </w:r>
          </w:p>
        </w:tc>
        <w:tc>
          <w:tcPr>
            <w:tcW w:type="dxa" w:w="26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17"/>
                <w:szCs w:val="17"/>
              </w:rPr>
              <w:t xml:space="preserve">Guerre de Sécession 1861–1877</w:t>
            </w:r>
          </w:p>
        </w:tc>
        <w:tc>
          <w:tcPr>
            <w:tcW w:type="dxa" w:w="12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17"/>
                <w:szCs w:val="17"/>
              </w:rPr>
              <w:t xml:space="preserve">Transition</w:t>
            </w:r>
          </w:p>
        </w:tc>
        <w:tc>
          <w:tcPr>
            <w:tcW w:type="dxa" w:w="14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17"/>
                <w:szCs w:val="17"/>
              </w:rPr>
              <w:t xml:space="preserve">Cs / effet boomerang</w:t>
            </w:r>
          </w:p>
        </w:tc>
        <w:tc>
          <w:tcPr>
            <w:tcW w:type="dxa" w:w="3826"/>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b/>
                <w:bCs/>
                <w:color w:val="2A7F7F"/>
                <w:sz w:val="17"/>
                <w:szCs w:val="17"/>
              </w:rPr>
              <w:t xml:space="preserve">(γ)→(a) forcée</w:t>
            </w:r>
          </w:p>
        </w:tc>
      </w:tr>
      <w:tr>
        <w:tc>
          <w:tcPr>
            <w:tcW w:type="dxa" w:w="10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Courier New" w:cs="Courier New" w:eastAsia="Courier New" w:hAnsi="Courier New"/>
                <w:color w:val="1B3A5C"/>
                <w:sz w:val="18"/>
                <w:szCs w:val="18"/>
              </w:rPr>
              <w:t xml:space="preserve">WP-C4-2</w:t>
            </w:r>
          </w:p>
        </w:tc>
        <w:tc>
          <w:tcPr>
            <w:tcW w:type="dxa" w:w="26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Roumanie 1989</w:t>
            </w:r>
          </w:p>
        </w:tc>
        <w:tc>
          <w:tcPr>
            <w:tcW w:type="dxa" w:w="12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Industriel</w:t>
            </w:r>
          </w:p>
        </w:tc>
        <w:tc>
          <w:tcPr>
            <w:tcW w:type="dxa" w:w="14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Cs / effet boomerang</w:t>
            </w:r>
          </w:p>
        </w:tc>
        <w:tc>
          <w:tcPr>
            <w:tcW w:type="dxa" w:w="3826"/>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b/>
                <w:bCs/>
                <w:color w:val="2A7F7F"/>
                <w:sz w:val="17"/>
                <w:szCs w:val="17"/>
              </w:rPr>
              <w:t xml:space="preserve">(b)→(a) rapide</w:t>
            </w:r>
          </w:p>
        </w:tc>
      </w:tr>
      <w:tr>
        <w:tc>
          <w:tcPr>
            <w:tcW w:type="dxa" w:w="10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Courier New" w:cs="Courier New" w:eastAsia="Courier New" w:hAnsi="Courier New"/>
                <w:color w:val="1B3A5C"/>
                <w:sz w:val="18"/>
                <w:szCs w:val="18"/>
              </w:rPr>
              <w:t xml:space="preserve">WP-C4-3</w:t>
            </w:r>
          </w:p>
        </w:tc>
        <w:tc>
          <w:tcPr>
            <w:tcW w:type="dxa" w:w="26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17"/>
                <w:szCs w:val="17"/>
              </w:rPr>
              <w:t xml:space="preserve">Portugal 1974</w:t>
            </w:r>
          </w:p>
        </w:tc>
        <w:tc>
          <w:tcPr>
            <w:tcW w:type="dxa" w:w="12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17"/>
                <w:szCs w:val="17"/>
              </w:rPr>
              <w:t xml:space="preserve">Industriel</w:t>
            </w:r>
          </w:p>
        </w:tc>
        <w:tc>
          <w:tcPr>
            <w:tcW w:type="dxa" w:w="14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17"/>
                <w:szCs w:val="17"/>
              </w:rPr>
              <w:t xml:space="preserve">Cs / boomerang</w:t>
            </w:r>
          </w:p>
        </w:tc>
        <w:tc>
          <w:tcPr>
            <w:tcW w:type="dxa" w:w="3826"/>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b/>
                <w:bCs/>
                <w:color w:val="2A7F7F"/>
                <w:sz w:val="17"/>
                <w:szCs w:val="17"/>
              </w:rPr>
              <w:t xml:space="preserve">(a)→(e)</w:t>
            </w:r>
          </w:p>
        </w:tc>
      </w:tr>
      <w:tr>
        <w:tc>
          <w:tcPr>
            <w:tcW w:type="dxa" w:w="10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Courier New" w:cs="Courier New" w:eastAsia="Courier New" w:hAnsi="Courier New"/>
                <w:color w:val="1B3A5C"/>
                <w:sz w:val="18"/>
                <w:szCs w:val="18"/>
              </w:rPr>
              <w:t xml:space="preserve">WP-C4-4</w:t>
            </w:r>
          </w:p>
        </w:tc>
        <w:tc>
          <w:tcPr>
            <w:tcW w:type="dxa" w:w="26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Chine Xi 2012–2026 Δτ</w:t>
            </w:r>
          </w:p>
        </w:tc>
        <w:tc>
          <w:tcPr>
            <w:tcW w:type="dxa" w:w="12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Contemporain</w:t>
            </w:r>
          </w:p>
        </w:tc>
        <w:tc>
          <w:tcPr>
            <w:tcW w:type="dxa" w:w="14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Cs maintenue par A_r_ne</w:t>
            </w:r>
          </w:p>
        </w:tc>
        <w:tc>
          <w:tcPr>
            <w:tcW w:type="dxa" w:w="3826"/>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b/>
                <w:bCs/>
                <w:color w:val="2A7F7F"/>
                <w:sz w:val="17"/>
                <w:szCs w:val="17"/>
              </w:rPr>
              <w:t xml:space="preserve">(h)</w:t>
            </w:r>
          </w:p>
        </w:tc>
      </w:tr>
      <w:tr>
        <w:tc>
          <w:tcPr>
            <w:tcW w:type="dxa" w:w="10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Courier New" w:cs="Courier New" w:eastAsia="Courier New" w:hAnsi="Courier New"/>
                <w:color w:val="1B3A5C"/>
                <w:sz w:val="18"/>
                <w:szCs w:val="18"/>
              </w:rPr>
              <w:t xml:space="preserve">WP-C4-5</w:t>
            </w:r>
          </w:p>
        </w:tc>
        <w:tc>
          <w:tcPr>
            <w:tcW w:type="dxa" w:w="26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17"/>
                <w:szCs w:val="17"/>
              </w:rPr>
              <w:t xml:space="preserve">Venezuela 2015–2024 (contrôle)</w:t>
            </w:r>
          </w:p>
        </w:tc>
        <w:tc>
          <w:tcPr>
            <w:tcW w:type="dxa" w:w="12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17"/>
                <w:szCs w:val="17"/>
              </w:rPr>
              <w:t xml:space="preserve">Contemporain</w:t>
            </w:r>
          </w:p>
        </w:tc>
        <w:tc>
          <w:tcPr>
            <w:tcW w:type="dxa" w:w="14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17"/>
                <w:szCs w:val="17"/>
              </w:rPr>
              <w:t xml:space="preserve">Cs faible</w:t>
            </w:r>
          </w:p>
        </w:tc>
        <w:tc>
          <w:tcPr>
            <w:tcW w:type="dxa" w:w="3826"/>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b/>
                <w:bCs/>
                <w:color w:val="2A7F7F"/>
                <w:sz w:val="17"/>
                <w:szCs w:val="17"/>
              </w:rPr>
              <w:t xml:space="preserve">(h) fragile</w:t>
            </w:r>
          </w:p>
        </w:tc>
      </w:tr>
      <w:tr>
        <w:tc>
          <w:tcPr>
            <w:tcW w:type="dxa" w:w="10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Courier New" w:cs="Courier New" w:eastAsia="Courier New" w:hAnsi="Courier New"/>
                <w:color w:val="1B3A5C"/>
                <w:sz w:val="18"/>
                <w:szCs w:val="18"/>
              </w:rPr>
              <w:t xml:space="preserve">WP-C5-1</w:t>
            </w:r>
          </w:p>
        </w:tc>
        <w:tc>
          <w:tcPr>
            <w:tcW w:type="dxa" w:w="26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Commune de Paris 1871</w:t>
            </w:r>
          </w:p>
        </w:tc>
        <w:tc>
          <w:tcPr>
            <w:tcW w:type="dxa" w:w="12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Fondateur</w:t>
            </w:r>
          </w:p>
        </w:tc>
        <w:tc>
          <w:tcPr>
            <w:tcW w:type="dxa" w:w="14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Ω / ΔTech</w:t>
            </w:r>
          </w:p>
        </w:tc>
        <w:tc>
          <w:tcPr>
            <w:tcW w:type="dxa" w:w="3826"/>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b/>
                <w:bCs/>
                <w:color w:val="2A7F7F"/>
                <w:sz w:val="17"/>
                <w:szCs w:val="17"/>
              </w:rPr>
              <w:t xml:space="preserve">(a) éphémère</w:t>
            </w:r>
          </w:p>
        </w:tc>
      </w:tr>
      <w:tr>
        <w:tc>
          <w:tcPr>
            <w:tcW w:type="dxa" w:w="10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Courier New" w:cs="Courier New" w:eastAsia="Courier New" w:hAnsi="Courier New"/>
                <w:color w:val="1B3A5C"/>
                <w:sz w:val="18"/>
                <w:szCs w:val="18"/>
              </w:rPr>
              <w:t xml:space="preserve">WP-C5-2</w:t>
            </w:r>
          </w:p>
        </w:tc>
        <w:tc>
          <w:tcPr>
            <w:tcW w:type="dxa" w:w="26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17"/>
                <w:szCs w:val="17"/>
              </w:rPr>
              <w:t xml:space="preserve">New Deal américain 1933</w:t>
            </w:r>
          </w:p>
        </w:tc>
        <w:tc>
          <w:tcPr>
            <w:tcW w:type="dxa" w:w="12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17"/>
                <w:szCs w:val="17"/>
              </w:rPr>
              <w:t xml:space="preserve">Industriel</w:t>
            </w:r>
          </w:p>
        </w:tc>
        <w:tc>
          <w:tcPr>
            <w:tcW w:type="dxa" w:w="14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17"/>
                <w:szCs w:val="17"/>
              </w:rPr>
              <w:t xml:space="preserve">Ω / ΔTech</w:t>
            </w:r>
          </w:p>
        </w:tc>
        <w:tc>
          <w:tcPr>
            <w:tcW w:type="dxa" w:w="3826"/>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b/>
                <w:bCs/>
                <w:color w:val="2A7F7F"/>
                <w:sz w:val="17"/>
                <w:szCs w:val="17"/>
              </w:rPr>
              <w:t xml:space="preserve">(e) résilience</w:t>
            </w:r>
          </w:p>
        </w:tc>
      </w:tr>
      <w:tr>
        <w:tc>
          <w:tcPr>
            <w:tcW w:type="dxa" w:w="10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Courier New" w:cs="Courier New" w:eastAsia="Courier New" w:hAnsi="Courier New"/>
                <w:color w:val="1B3A5C"/>
                <w:sz w:val="18"/>
                <w:szCs w:val="18"/>
              </w:rPr>
              <w:t xml:space="preserve">WP-C5-3</w:t>
            </w:r>
          </w:p>
        </w:tc>
        <w:tc>
          <w:tcPr>
            <w:tcW w:type="dxa" w:w="26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Rwanda 1990–2010</w:t>
            </w:r>
          </w:p>
        </w:tc>
        <w:tc>
          <w:tcPr>
            <w:tcW w:type="dxa" w:w="12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Ind./Cont.</w:t>
            </w:r>
          </w:p>
        </w:tc>
        <w:tc>
          <w:tcPr>
            <w:tcW w:type="dxa" w:w="14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Ω extrême bas</w:t>
            </w:r>
          </w:p>
        </w:tc>
        <w:tc>
          <w:tcPr>
            <w:tcW w:type="dxa" w:w="3826"/>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b/>
                <w:bCs/>
                <w:color w:val="2A7F7F"/>
                <w:sz w:val="17"/>
                <w:szCs w:val="17"/>
              </w:rPr>
              <w:t xml:space="preserve">(a)→(e)</w:t>
            </w:r>
          </w:p>
        </w:tc>
      </w:tr>
      <w:tr>
        <w:tc>
          <w:tcPr>
            <w:tcW w:type="dxa" w:w="10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Courier New" w:cs="Courier New" w:eastAsia="Courier New" w:hAnsi="Courier New"/>
                <w:color w:val="1B3A5C"/>
                <w:sz w:val="18"/>
                <w:szCs w:val="18"/>
              </w:rPr>
              <w:t xml:space="preserve">WP-C5-4 (prosp.)</w:t>
            </w:r>
          </w:p>
        </w:tc>
        <w:tc>
          <w:tcPr>
            <w:tcW w:type="dxa" w:w="26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17"/>
                <w:szCs w:val="17"/>
              </w:rPr>
              <w:t xml:space="preserve">Union Européenne 2025–2035</w:t>
            </w:r>
          </w:p>
        </w:tc>
        <w:tc>
          <w:tcPr>
            <w:tcW w:type="dxa" w:w="12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17"/>
                <w:szCs w:val="17"/>
              </w:rPr>
              <w:t xml:space="preserve">Contemporain</w:t>
            </w:r>
          </w:p>
        </w:tc>
        <w:tc>
          <w:tcPr>
            <w:tcW w:type="dxa" w:w="14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17"/>
                <w:szCs w:val="17"/>
              </w:rPr>
              <w:t xml:space="preserve">Ω saturée + EROI transition</w:t>
            </w:r>
          </w:p>
        </w:tc>
        <w:tc>
          <w:tcPr>
            <w:tcW w:type="dxa" w:w="3826"/>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b/>
                <w:bCs/>
                <w:color w:val="2A7F7F"/>
                <w:sz w:val="17"/>
                <w:szCs w:val="17"/>
              </w:rPr>
              <w:t xml:space="preserve">Sim. (e)/(c)</w:t>
            </w:r>
          </w:p>
        </w:tc>
      </w:tr>
      <w:tr>
        <w:tc>
          <w:tcPr>
            <w:tcW w:type="dxa" w:w="10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Courier New" w:cs="Courier New" w:eastAsia="Courier New" w:hAnsi="Courier New"/>
                <w:color w:val="1B3A5C"/>
                <w:sz w:val="18"/>
                <w:szCs w:val="18"/>
              </w:rPr>
              <w:t xml:space="preserve">WP-C5-5 (prosp.)</w:t>
            </w:r>
          </w:p>
        </w:tc>
        <w:tc>
          <w:tcPr>
            <w:tcW w:type="dxa" w:w="26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France 2025–2030</w:t>
            </w:r>
          </w:p>
        </w:tc>
        <w:tc>
          <w:tcPr>
            <w:tcW w:type="dxa" w:w="12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Contemporain</w:t>
            </w:r>
          </w:p>
        </w:tc>
        <w:tc>
          <w:tcPr>
            <w:tcW w:type="dxa" w:w="14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Cs + boomerang numérique</w:t>
            </w:r>
          </w:p>
        </w:tc>
        <w:tc>
          <w:tcPr>
            <w:tcW w:type="dxa" w:w="3826"/>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b/>
                <w:bCs/>
                <w:color w:val="2A7F7F"/>
                <w:sz w:val="17"/>
                <w:szCs w:val="17"/>
              </w:rPr>
              <w:t xml:space="preserve">Sim. (b)/(a)</w:t>
            </w:r>
          </w:p>
        </w:tc>
      </w:tr>
    </w:tbl>
    <w:p>
      <w:pPr>
        <w:spacing w:before="0" w:after="0"/>
        <w:jc w:val="left"/>
      </w:pPr>
      <w:r>
        <w:rPr>
          <w:rFonts w:ascii="Arial" w:cs="Arial" w:eastAsia="Arial" w:hAnsi="Arial"/>
          <w:color w:val="444444"/>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BDD4" w:sz="1"/>
              <w:left w:val="single" w:color="2A7F7F" w:sz="6"/>
              <w:bottom w:val="single" w:color="AABDD4" w:sz="1"/>
              <w:right w:val="single" w:color="AABDD4" w:sz="1"/>
            </w:tcBorders>
            <w:shd w:fill="EDF3FA" w:val="clear"/>
            <w:tcMar>
              <w:top w:type="dxa" w:w="80"/>
              <w:left w:type="dxa" w:w="200"/>
              <w:bottom w:type="dxa" w:w="80"/>
              <w:right w:type="dxa" w:w="120"/>
            </w:tcMar>
          </w:tcPr>
          <w:p>
            <w:pPr>
              <w:spacing w:before="0" w:after="0"/>
              <w:jc w:val="left"/>
            </w:pPr>
            <w:r>
              <w:rPr>
                <w:rFonts w:ascii="Arial" w:cs="Arial" w:eastAsia="Arial" w:hAnsi="Arial"/>
                <w:b/>
                <w:bCs/>
                <w:color w:val="2A7F7F"/>
                <w:sz w:val="18"/>
                <w:szCs w:val="18"/>
              </w:rPr>
              <w:t xml:space="preserve">Note sur Islande et Haïti — </w:t>
            </w:r>
            <w:r>
              <w:rPr>
                <w:rFonts w:ascii="Arial" w:cs="Arial" w:eastAsia="Arial" w:hAnsi="Arial"/>
                <w:color w:val="444444"/>
                <w:sz w:val="18"/>
                <w:szCs w:val="18"/>
              </w:rPr>
              <w:t xml:space="preserve">WP-C3-5 Islande 2008–2013 (cas de contrôle du Cluster C3) est distinct de WP-C1 Haïti 2010–2024 (corpus opérationnel V6.2, LOI PHYSIQUE). L'Islande reste dans le cadre théorique comme contrôle de P5 ; dans le corpus opérationnel des 27 WP V6.2, elle est déplacée en WP-EXT-5.</w:t>
            </w:r>
          </w:p>
        </w:tc>
      </w:tr>
    </w:tbl>
    <w:p>
      <w:pPr>
        <w:spacing w:before="0" w:after="0"/>
        <w:jc w:val="left"/>
      </w:pPr>
      <w:r>
        <w:rPr>
          <w:rFonts w:ascii="Arial" w:cs="Arial" w:eastAsia="Arial" w:hAnsi="Arial"/>
          <w:color w:val="444444"/>
          <w:sz w:val="20"/>
          <w:szCs w:val="20"/>
        </w:rPr>
        <w:t xml:space="preserve"/>
      </w:r>
    </w:p>
    <w:p>
      <w:r>
        <w:br w:type="page"/>
      </w:r>
    </w:p>
    <w:p>
      <w:pPr>
        <w:pStyle w:val="Heading1"/>
        <w:spacing w:before="280" w:after="100"/>
      </w:pPr>
      <w:r>
        <w:rPr>
          <w:rFonts w:ascii="Arial" w:cs="Arial" w:eastAsia="Arial" w:hAnsi="Arial"/>
          <w:b/>
          <w:bCs/>
          <w:color w:val="1B3A5C"/>
          <w:sz w:val="36"/>
          <w:szCs w:val="36"/>
        </w:rPr>
        <w:t xml:space="preserve">7. Cinq prédictions falsifiables</w:t>
      </w:r>
    </w:p>
    <w:p>
      <w:pPr>
        <w:pStyle w:val="Heading2"/>
        <w:spacing w:before="220" w:after="80"/>
      </w:pPr>
      <w:r>
        <w:rPr>
          <w:rFonts w:ascii="Arial" w:cs="Arial" w:eastAsia="Arial" w:hAnsi="Arial"/>
          <w:b/>
          <w:bCs/>
          <w:color w:val="2E6DA4"/>
          <w:sz w:val="28"/>
          <w:szCs w:val="28"/>
        </w:rPr>
        <w:t xml:space="preserve">P1 — Séquence de la réforme institutionnelle et trajectoire post-(a)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AABDD4" w:sz="1"/>
              <w:left w:val="single" w:color="AABDD4" w:sz="1"/>
              <w:bottom w:val="single" w:color="AABDD4" w:sz="1"/>
              <w:right w:val="single" w:color="AABDD4" w:sz="1"/>
            </w:tcBorders>
            <w:shd w:fill="D5E8F0" w:val="clear"/>
            <w:tcMar>
              <w:top w:type="dxa" w:w="80"/>
              <w:left w:type="dxa" w:w="120"/>
              <w:bottom w:type="dxa" w:w="80"/>
              <w:right w:type="dxa" w:w="120"/>
            </w:tcMar>
          </w:tcPr>
          <w:p>
            <w:r>
              <w:rPr>
                <w:rFonts w:ascii="Arial" w:cs="Arial" w:eastAsia="Arial" w:hAnsi="Arial"/>
                <w:b/>
                <w:bCs/>
                <w:color w:val="1B3A5C"/>
                <w:sz w:val="18"/>
                <w:szCs w:val="18"/>
              </w:rPr>
              <w:t xml:space="preserve">Proposition</w:t>
            </w:r>
          </w:p>
        </w:tc>
        <w:tc>
          <w:tcPr>
            <w:tcW w:type="dxa" w:w="7026"/>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20"/>
                <w:szCs w:val="20"/>
              </w:rPr>
              <w:t xml:space="preserve">Si une réforme institutionnelle (A_i) est déployée après restauration de A_d_eff, la probabilité d'une trajectoire (e) stable est supérieure à celle d'une A_i déployée avant cette restauration.</w:t>
            </w:r>
          </w:p>
        </w:tc>
      </w:tr>
      <w:tr>
        <w:tc>
          <w:tcPr>
            <w:tcW w:type="dxa" w:w="2000"/>
            <w:tcBorders>
              <w:top w:val="single" w:color="AABDD4" w:sz="1"/>
              <w:left w:val="single" w:color="AABDD4" w:sz="1"/>
              <w:bottom w:val="single" w:color="AABDD4" w:sz="1"/>
              <w:right w:val="single" w:color="AABDD4" w:sz="1"/>
            </w:tcBorders>
            <w:shd w:fill="D5E8F0" w:val="clear"/>
            <w:tcMar>
              <w:top w:type="dxa" w:w="80"/>
              <w:left w:type="dxa" w:w="120"/>
              <w:bottom w:type="dxa" w:w="80"/>
              <w:right w:type="dxa" w:w="120"/>
            </w:tcMar>
          </w:tcPr>
          <w:p>
            <w:r>
              <w:rPr>
                <w:rFonts w:ascii="Arial" w:cs="Arial" w:eastAsia="Arial" w:hAnsi="Arial"/>
                <w:b/>
                <w:bCs/>
                <w:color w:val="1B3A5C"/>
                <w:sz w:val="18"/>
                <w:szCs w:val="18"/>
              </w:rPr>
              <w:t xml:space="preserve">Test naturel</w:t>
            </w:r>
          </w:p>
        </w:tc>
        <w:tc>
          <w:tcPr>
            <w:tcW w:type="dxa" w:w="7026"/>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Chine Deng 1978 (capacité redistributive d'abord) vs URSS Gorbatchev 1985 (liberté d'abord)</w:t>
            </w:r>
          </w:p>
        </w:tc>
      </w:tr>
      <w:tr>
        <w:tc>
          <w:tcPr>
            <w:tcW w:type="dxa" w:w="2000"/>
            <w:tcBorders>
              <w:top w:val="single" w:color="AABDD4" w:sz="1"/>
              <w:left w:val="single" w:color="AABDD4" w:sz="1"/>
              <w:bottom w:val="single" w:color="AABDD4" w:sz="1"/>
              <w:right w:val="single" w:color="AABDD4" w:sz="1"/>
            </w:tcBorders>
            <w:shd w:fill="D5E8F0" w:val="clear"/>
            <w:tcMar>
              <w:top w:type="dxa" w:w="80"/>
              <w:left w:type="dxa" w:w="120"/>
              <w:bottom w:type="dxa" w:w="80"/>
              <w:right w:type="dxa" w:w="120"/>
            </w:tcMar>
          </w:tcPr>
          <w:p>
            <w:r>
              <w:rPr>
                <w:rFonts w:ascii="Arial" w:cs="Arial" w:eastAsia="Arial" w:hAnsi="Arial"/>
                <w:b/>
                <w:bCs/>
                <w:color w:val="1B3A5C"/>
                <w:sz w:val="18"/>
                <w:szCs w:val="18"/>
              </w:rPr>
              <w:t xml:space="preserve">Résultat</w:t>
            </w:r>
          </w:p>
        </w:tc>
        <w:tc>
          <w:tcPr>
            <w:tcW w:type="dxa" w:w="7026"/>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20"/>
                <w:szCs w:val="20"/>
              </w:rPr>
              <w:t xml:space="preserve">Confirmée : Chine +9%/an, URSS −5%/an sur 5 ans post-réforme</w:t>
            </w:r>
          </w:p>
        </w:tc>
      </w:tr>
      <w:tr>
        <w:tc>
          <w:tcPr>
            <w:tcW w:type="dxa" w:w="2000"/>
            <w:tcBorders>
              <w:top w:val="single" w:color="AABDD4" w:sz="1"/>
              <w:left w:val="single" w:color="AABDD4" w:sz="1"/>
              <w:bottom w:val="single" w:color="AABDD4" w:sz="1"/>
              <w:right w:val="single" w:color="AABDD4" w:sz="1"/>
            </w:tcBorders>
            <w:shd w:fill="D5E8F0" w:val="clear"/>
            <w:tcMar>
              <w:top w:type="dxa" w:w="80"/>
              <w:left w:type="dxa" w:w="120"/>
              <w:bottom w:type="dxa" w:w="80"/>
              <w:right w:type="dxa" w:w="120"/>
            </w:tcMar>
          </w:tcPr>
          <w:p>
            <w:r>
              <w:rPr>
                <w:rFonts w:ascii="Arial" w:cs="Arial" w:eastAsia="Arial" w:hAnsi="Arial"/>
                <w:b/>
                <w:bCs/>
                <w:color w:val="1B3A5C"/>
                <w:sz w:val="18"/>
                <w:szCs w:val="18"/>
              </w:rPr>
              <w:t xml:space="preserve">Condition de réfutation</w:t>
            </w:r>
          </w:p>
        </w:tc>
        <w:tc>
          <w:tcPr>
            <w:tcW w:type="dxa" w:w="7026"/>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8B1A1A"/>
                <w:sz w:val="20"/>
                <w:szCs w:val="20"/>
              </w:rPr>
              <w:t xml:space="preserve">Cas documenté où A_i avant A_d_eff produit une trajectoire (e) stable sur 10+ ans</w:t>
            </w:r>
          </w:p>
        </w:tc>
      </w:tr>
    </w:tbl>
    <w:p>
      <w:pPr>
        <w:spacing w:before="0" w:after="0"/>
        <w:jc w:val="left"/>
      </w:pPr>
      <w:r>
        <w:rPr>
          <w:rFonts w:ascii="Arial" w:cs="Arial" w:eastAsia="Arial" w:hAnsi="Arial"/>
          <w:color w:val="444444"/>
          <w:sz w:val="20"/>
          <w:szCs w:val="20"/>
        </w:rPr>
        <w:t xml:space="preserve"/>
      </w:r>
    </w:p>
    <w:p>
      <w:pPr>
        <w:pStyle w:val="Heading2"/>
        <w:spacing w:before="220" w:after="80"/>
      </w:pPr>
      <w:r>
        <w:rPr>
          <w:rFonts w:ascii="Arial" w:cs="Arial" w:eastAsia="Arial" w:hAnsi="Arial"/>
          <w:b/>
          <w:bCs/>
          <w:color w:val="2E6DA4"/>
          <w:sz w:val="28"/>
          <w:szCs w:val="28"/>
        </w:rPr>
        <w:t xml:space="preserve">P2 — Seuil EROI et effondrement de la loyauté 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AABDD4" w:sz="1"/>
              <w:left w:val="single" w:color="AABDD4" w:sz="1"/>
              <w:bottom w:val="single" w:color="AABDD4" w:sz="1"/>
              <w:right w:val="single" w:color="AABDD4" w:sz="1"/>
            </w:tcBorders>
            <w:shd w:fill="D5E8F0" w:val="clear"/>
            <w:tcMar>
              <w:top w:type="dxa" w:w="80"/>
              <w:left w:type="dxa" w:w="120"/>
              <w:bottom w:type="dxa" w:w="80"/>
              <w:right w:type="dxa" w:w="120"/>
            </w:tcMar>
          </w:tcPr>
          <w:p>
            <w:r>
              <w:rPr>
                <w:rFonts w:ascii="Arial" w:cs="Arial" w:eastAsia="Arial" w:hAnsi="Arial"/>
                <w:b/>
                <w:bCs/>
                <w:color w:val="1B3A5C"/>
                <w:sz w:val="18"/>
                <w:szCs w:val="18"/>
              </w:rPr>
              <w:t xml:space="preserve">Proposition</w:t>
            </w:r>
          </w:p>
        </w:tc>
        <w:tc>
          <w:tcPr>
            <w:tcW w:type="dxa" w:w="7026"/>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20"/>
                <w:szCs w:val="20"/>
              </w:rPr>
              <w:t xml:space="preserve">Si EROI d'une économie tombe sous 5 (fossile) ou 3 (agricole), L(t) s'effondre en moins de 15 ans, indépendamment des mécanismes politiques.</w:t>
            </w:r>
          </w:p>
        </w:tc>
      </w:tr>
      <w:tr>
        <w:tc>
          <w:tcPr>
            <w:tcW w:type="dxa" w:w="2000"/>
            <w:tcBorders>
              <w:top w:val="single" w:color="AABDD4" w:sz="1"/>
              <w:left w:val="single" w:color="AABDD4" w:sz="1"/>
              <w:bottom w:val="single" w:color="AABDD4" w:sz="1"/>
              <w:right w:val="single" w:color="AABDD4" w:sz="1"/>
            </w:tcBorders>
            <w:shd w:fill="D5E8F0" w:val="clear"/>
            <w:tcMar>
              <w:top w:type="dxa" w:w="80"/>
              <w:left w:type="dxa" w:w="120"/>
              <w:bottom w:type="dxa" w:w="80"/>
              <w:right w:type="dxa" w:w="120"/>
            </w:tcMar>
          </w:tcPr>
          <w:p>
            <w:r>
              <w:rPr>
                <w:rFonts w:ascii="Arial" w:cs="Arial" w:eastAsia="Arial" w:hAnsi="Arial"/>
                <w:b/>
                <w:bCs/>
                <w:color w:val="1B3A5C"/>
                <w:sz w:val="18"/>
                <w:szCs w:val="18"/>
              </w:rPr>
              <w:t xml:space="preserve">Test naturel</w:t>
            </w:r>
          </w:p>
        </w:tc>
        <w:tc>
          <w:tcPr>
            <w:tcW w:type="dxa" w:w="7026"/>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Rome IIIe s., URSS 1980–1991, Rwanda 1990–1994, Liban 2019–2026</w:t>
            </w:r>
          </w:p>
        </w:tc>
      </w:tr>
      <w:tr>
        <w:tc>
          <w:tcPr>
            <w:tcW w:type="dxa" w:w="2000"/>
            <w:tcBorders>
              <w:top w:val="single" w:color="AABDD4" w:sz="1"/>
              <w:left w:val="single" w:color="AABDD4" w:sz="1"/>
              <w:bottom w:val="single" w:color="AABDD4" w:sz="1"/>
              <w:right w:val="single" w:color="AABDD4" w:sz="1"/>
            </w:tcBorders>
            <w:shd w:fill="D5E8F0" w:val="clear"/>
            <w:tcMar>
              <w:top w:type="dxa" w:w="80"/>
              <w:left w:type="dxa" w:w="120"/>
              <w:bottom w:type="dxa" w:w="80"/>
              <w:right w:type="dxa" w:w="120"/>
            </w:tcMar>
          </w:tcPr>
          <w:p>
            <w:r>
              <w:rPr>
                <w:rFonts w:ascii="Arial" w:cs="Arial" w:eastAsia="Arial" w:hAnsi="Arial"/>
                <w:b/>
                <w:bCs/>
                <w:color w:val="1B3A5C"/>
                <w:sz w:val="18"/>
                <w:szCs w:val="18"/>
              </w:rPr>
              <w:t xml:space="preserve">Résultat</w:t>
            </w:r>
          </w:p>
        </w:tc>
        <w:tc>
          <w:tcPr>
            <w:tcW w:type="dxa" w:w="7026"/>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20"/>
                <w:szCs w:val="20"/>
              </w:rPr>
              <w:t xml:space="preserve">Confirmée partiellement : Rome (Δτ≈20 ans), URSS (Δτ≈10 ans), Rwanda (Δτ≈3 ans)</w:t>
            </w:r>
          </w:p>
        </w:tc>
      </w:tr>
      <w:tr>
        <w:tc>
          <w:tcPr>
            <w:tcW w:type="dxa" w:w="2000"/>
            <w:tcBorders>
              <w:top w:val="single" w:color="AABDD4" w:sz="1"/>
              <w:left w:val="single" w:color="AABDD4" w:sz="1"/>
              <w:bottom w:val="single" w:color="AABDD4" w:sz="1"/>
              <w:right w:val="single" w:color="AABDD4" w:sz="1"/>
            </w:tcBorders>
            <w:shd w:fill="D5E8F0" w:val="clear"/>
            <w:tcMar>
              <w:top w:type="dxa" w:w="80"/>
              <w:left w:type="dxa" w:w="120"/>
              <w:bottom w:type="dxa" w:w="80"/>
              <w:right w:type="dxa" w:w="120"/>
            </w:tcMar>
          </w:tcPr>
          <w:p>
            <w:r>
              <w:rPr>
                <w:rFonts w:ascii="Arial" w:cs="Arial" w:eastAsia="Arial" w:hAnsi="Arial"/>
                <w:b/>
                <w:bCs/>
                <w:color w:val="1B3A5C"/>
                <w:sz w:val="18"/>
                <w:szCs w:val="18"/>
              </w:rPr>
              <w:t xml:space="preserve">Condition de réfutation</w:t>
            </w:r>
          </w:p>
        </w:tc>
        <w:tc>
          <w:tcPr>
            <w:tcW w:type="dxa" w:w="7026"/>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8B1A1A"/>
                <w:sz w:val="20"/>
                <w:szCs w:val="20"/>
              </w:rPr>
              <w:t xml:space="preserve">EROI &lt; 5 pendant 15+ ans sans effondrement de L(t)</w:t>
            </w:r>
          </w:p>
        </w:tc>
      </w:tr>
    </w:tbl>
    <w:p>
      <w:pPr>
        <w:spacing w:before="0" w:after="0"/>
        <w:jc w:val="left"/>
      </w:pPr>
      <w:r>
        <w:rPr>
          <w:rFonts w:ascii="Arial" w:cs="Arial" w:eastAsia="Arial" w:hAnsi="Arial"/>
          <w:color w:val="444444"/>
          <w:sz w:val="20"/>
          <w:szCs w:val="20"/>
        </w:rPr>
        <w:t xml:space="preserve"/>
      </w:r>
    </w:p>
    <w:p>
      <w:pPr>
        <w:pStyle w:val="Heading2"/>
        <w:spacing w:before="220" w:after="80"/>
      </w:pPr>
      <w:r>
        <w:rPr>
          <w:rFonts w:ascii="Arial" w:cs="Arial" w:eastAsia="Arial" w:hAnsi="Arial"/>
          <w:b/>
          <w:bCs/>
          <w:color w:val="2E6DA4"/>
          <w:sz w:val="28"/>
          <w:szCs w:val="28"/>
        </w:rPr>
        <w:t xml:space="preserve">P3 — Capacité organisationnelle γ et institutionnalisation post-(a)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AABDD4" w:sz="1"/>
              <w:left w:val="single" w:color="AABDD4" w:sz="1"/>
              <w:bottom w:val="single" w:color="AABDD4" w:sz="1"/>
              <w:right w:val="single" w:color="AABDD4" w:sz="1"/>
            </w:tcBorders>
            <w:shd w:fill="D5E8F0" w:val="clear"/>
            <w:tcMar>
              <w:top w:type="dxa" w:w="80"/>
              <w:left w:type="dxa" w:w="120"/>
              <w:bottom w:type="dxa" w:w="80"/>
              <w:right w:type="dxa" w:w="120"/>
            </w:tcMar>
          </w:tcPr>
          <w:p>
            <w:r>
              <w:rPr>
                <w:rFonts w:ascii="Arial" w:cs="Arial" w:eastAsia="Arial" w:hAnsi="Arial"/>
                <w:b/>
                <w:bCs/>
                <w:color w:val="1B3A5C"/>
                <w:sz w:val="18"/>
                <w:szCs w:val="18"/>
              </w:rPr>
              <w:t xml:space="preserve">Proposition</w:t>
            </w:r>
          </w:p>
        </w:tc>
        <w:tc>
          <w:tcPr>
            <w:tcW w:type="dxa" w:w="7026"/>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20"/>
                <w:szCs w:val="20"/>
              </w:rPr>
              <w:t xml:space="preserve">γ &gt; 0.6 → institutionnalisation durable (&gt;10 ans) dans &gt; 80% des cas. γ &lt; 0.4 → contre-révolution ou stase dans &gt; 70% des cas.</w:t>
            </w:r>
          </w:p>
        </w:tc>
      </w:tr>
      <w:tr>
        <w:tc>
          <w:tcPr>
            <w:tcW w:type="dxa" w:w="2000"/>
            <w:tcBorders>
              <w:top w:val="single" w:color="AABDD4" w:sz="1"/>
              <w:left w:val="single" w:color="AABDD4" w:sz="1"/>
              <w:bottom w:val="single" w:color="AABDD4" w:sz="1"/>
              <w:right w:val="single" w:color="AABDD4" w:sz="1"/>
            </w:tcBorders>
            <w:shd w:fill="D5E8F0" w:val="clear"/>
            <w:tcMar>
              <w:top w:type="dxa" w:w="80"/>
              <w:left w:type="dxa" w:w="120"/>
              <w:bottom w:type="dxa" w:w="80"/>
              <w:right w:type="dxa" w:w="120"/>
            </w:tcMar>
          </w:tcPr>
          <w:p>
            <w:r>
              <w:rPr>
                <w:rFonts w:ascii="Arial" w:cs="Arial" w:eastAsia="Arial" w:hAnsi="Arial"/>
                <w:b/>
                <w:bCs/>
                <w:color w:val="1B3A5C"/>
                <w:sz w:val="18"/>
                <w:szCs w:val="18"/>
              </w:rPr>
              <w:t xml:space="preserve">Test naturel</w:t>
            </w:r>
          </w:p>
        </w:tc>
        <w:tc>
          <w:tcPr>
            <w:tcW w:type="dxa" w:w="7026"/>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Russie 1917 (γ≈0.85 → 70 ans) vs Commune 1871 (γ≈0.35 → 72 jours)</w:t>
            </w:r>
          </w:p>
        </w:tc>
      </w:tr>
      <w:tr>
        <w:tc>
          <w:tcPr>
            <w:tcW w:type="dxa" w:w="2000"/>
            <w:tcBorders>
              <w:top w:val="single" w:color="AABDD4" w:sz="1"/>
              <w:left w:val="single" w:color="AABDD4" w:sz="1"/>
              <w:bottom w:val="single" w:color="AABDD4" w:sz="1"/>
              <w:right w:val="single" w:color="AABDD4" w:sz="1"/>
            </w:tcBorders>
            <w:shd w:fill="D5E8F0" w:val="clear"/>
            <w:tcMar>
              <w:top w:type="dxa" w:w="80"/>
              <w:left w:type="dxa" w:w="120"/>
              <w:bottom w:type="dxa" w:w="80"/>
              <w:right w:type="dxa" w:w="120"/>
            </w:tcMar>
          </w:tcPr>
          <w:p>
            <w:r>
              <w:rPr>
                <w:rFonts w:ascii="Arial" w:cs="Arial" w:eastAsia="Arial" w:hAnsi="Arial"/>
                <w:b/>
                <w:bCs/>
                <w:color w:val="1B3A5C"/>
                <w:sz w:val="18"/>
                <w:szCs w:val="18"/>
              </w:rPr>
              <w:t xml:space="preserve">Résultat</w:t>
            </w:r>
          </w:p>
        </w:tc>
        <w:tc>
          <w:tcPr>
            <w:tcW w:type="dxa" w:w="7026"/>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20"/>
                <w:szCs w:val="20"/>
              </w:rPr>
              <w:t xml:space="preserve">ρ Spearman ≈ 0.75 (à valider par codage inter-codeurs CCI)</w:t>
            </w:r>
          </w:p>
        </w:tc>
      </w:tr>
      <w:tr>
        <w:tc>
          <w:tcPr>
            <w:tcW w:type="dxa" w:w="2000"/>
            <w:tcBorders>
              <w:top w:val="single" w:color="AABDD4" w:sz="1"/>
              <w:left w:val="single" w:color="AABDD4" w:sz="1"/>
              <w:bottom w:val="single" w:color="AABDD4" w:sz="1"/>
              <w:right w:val="single" w:color="AABDD4" w:sz="1"/>
            </w:tcBorders>
            <w:shd w:fill="D5E8F0" w:val="clear"/>
            <w:tcMar>
              <w:top w:type="dxa" w:w="80"/>
              <w:left w:type="dxa" w:w="120"/>
              <w:bottom w:type="dxa" w:w="80"/>
              <w:right w:type="dxa" w:w="120"/>
            </w:tcMar>
          </w:tcPr>
          <w:p>
            <w:r>
              <w:rPr>
                <w:rFonts w:ascii="Arial" w:cs="Arial" w:eastAsia="Arial" w:hAnsi="Arial"/>
                <w:b/>
                <w:bCs/>
                <w:color w:val="1B3A5C"/>
                <w:sz w:val="18"/>
                <w:szCs w:val="18"/>
              </w:rPr>
              <w:t xml:space="preserve">Condition de réfutation</w:t>
            </w:r>
          </w:p>
        </w:tc>
        <w:tc>
          <w:tcPr>
            <w:tcW w:type="dxa" w:w="7026"/>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8B1A1A"/>
                <w:sz w:val="20"/>
                <w:szCs w:val="20"/>
              </w:rPr>
              <w:t xml:space="preserve">γ &gt; 0.6 et institutionnalisation &lt; 3 ans, OU γ &lt; 0.4 et institutionnalisation &gt; 10 ans</w:t>
            </w:r>
          </w:p>
        </w:tc>
      </w:tr>
    </w:tbl>
    <w:p>
      <w:pPr>
        <w:spacing w:before="0" w:after="0"/>
        <w:jc w:val="left"/>
      </w:pPr>
      <w:r>
        <w:rPr>
          <w:rFonts w:ascii="Arial" w:cs="Arial" w:eastAsia="Arial" w:hAnsi="Arial"/>
          <w:color w:val="444444"/>
          <w:sz w:val="20"/>
          <w:szCs w:val="20"/>
        </w:rPr>
        <w:t xml:space="preserve"/>
      </w:r>
    </w:p>
    <w:p>
      <w:pPr>
        <w:pStyle w:val="Heading2"/>
        <w:spacing w:before="220" w:after="80"/>
      </w:pPr>
      <w:r>
        <w:rPr>
          <w:rFonts w:ascii="Arial" w:cs="Arial" w:eastAsia="Arial" w:hAnsi="Arial"/>
          <w:b/>
          <w:bCs/>
          <w:color w:val="2E6DA4"/>
          <w:sz w:val="28"/>
          <w:szCs w:val="28"/>
        </w:rPr>
        <w:t xml:space="preserve">P4 — Répression numérique A_r_ne et seuil de trajectoire (a)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AABDD4" w:sz="1"/>
              <w:left w:val="single" w:color="AABDD4" w:sz="1"/>
              <w:bottom w:val="single" w:color="AABDD4" w:sz="1"/>
              <w:right w:val="single" w:color="AABDD4" w:sz="1"/>
            </w:tcBorders>
            <w:shd w:fill="D5E8F0" w:val="clear"/>
            <w:tcMar>
              <w:top w:type="dxa" w:w="80"/>
              <w:left w:type="dxa" w:w="120"/>
              <w:bottom w:type="dxa" w:w="80"/>
              <w:right w:type="dxa" w:w="120"/>
            </w:tcMar>
          </w:tcPr>
          <w:p>
            <w:r>
              <w:rPr>
                <w:rFonts w:ascii="Arial" w:cs="Arial" w:eastAsia="Arial" w:hAnsi="Arial"/>
                <w:b/>
                <w:bCs/>
                <w:color w:val="1B3A5C"/>
                <w:sz w:val="18"/>
                <w:szCs w:val="18"/>
              </w:rPr>
              <w:t xml:space="preserve">Proposition</w:t>
            </w:r>
          </w:p>
        </w:tc>
        <w:tc>
          <w:tcPr>
            <w:tcW w:type="dxa" w:w="7026"/>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20"/>
                <w:szCs w:val="20"/>
              </w:rPr>
              <w:t xml:space="preserve">Au-delà de A_r_ne ≥ 0.75, la trajectoire (a) interne ne peut plus être déclenchée sans un choc exogène Q5_déstab ≥ 7/10.</w:t>
            </w:r>
          </w:p>
        </w:tc>
      </w:tr>
      <w:tr>
        <w:tc>
          <w:tcPr>
            <w:tcW w:type="dxa" w:w="2000"/>
            <w:tcBorders>
              <w:top w:val="single" w:color="AABDD4" w:sz="1"/>
              <w:left w:val="single" w:color="AABDD4" w:sz="1"/>
              <w:bottom w:val="single" w:color="AABDD4" w:sz="1"/>
              <w:right w:val="single" w:color="AABDD4" w:sz="1"/>
            </w:tcBorders>
            <w:shd w:fill="D5E8F0" w:val="clear"/>
            <w:tcMar>
              <w:top w:type="dxa" w:w="80"/>
              <w:left w:type="dxa" w:w="120"/>
              <w:bottom w:type="dxa" w:w="80"/>
              <w:right w:type="dxa" w:w="120"/>
            </w:tcMar>
          </w:tcPr>
          <w:p>
            <w:r>
              <w:rPr>
                <w:rFonts w:ascii="Arial" w:cs="Arial" w:eastAsia="Arial" w:hAnsi="Arial"/>
                <w:b/>
                <w:bCs/>
                <w:color w:val="1B3A5C"/>
                <w:sz w:val="18"/>
                <w:szCs w:val="18"/>
              </w:rPr>
              <w:t xml:space="preserve">Test naturel</w:t>
            </w:r>
          </w:p>
        </w:tc>
        <w:tc>
          <w:tcPr>
            <w:tcW w:type="dxa" w:w="7026"/>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Chine 1989 (A_r_ne≈0.45 → (a) possible) vs Chine 2024 (A_r_ne≈0.85 → aucune mobilisation nationale)</w:t>
            </w:r>
          </w:p>
        </w:tc>
      </w:tr>
      <w:tr>
        <w:tc>
          <w:tcPr>
            <w:tcW w:type="dxa" w:w="2000"/>
            <w:tcBorders>
              <w:top w:val="single" w:color="AABDD4" w:sz="1"/>
              <w:left w:val="single" w:color="AABDD4" w:sz="1"/>
              <w:bottom w:val="single" w:color="AABDD4" w:sz="1"/>
              <w:right w:val="single" w:color="AABDD4" w:sz="1"/>
            </w:tcBorders>
            <w:shd w:fill="D5E8F0" w:val="clear"/>
            <w:tcMar>
              <w:top w:type="dxa" w:w="80"/>
              <w:left w:type="dxa" w:w="120"/>
              <w:bottom w:type="dxa" w:w="80"/>
              <w:right w:type="dxa" w:w="120"/>
            </w:tcMar>
          </w:tcPr>
          <w:p>
            <w:r>
              <w:rPr>
                <w:rFonts w:ascii="Arial" w:cs="Arial" w:eastAsia="Arial" w:hAnsi="Arial"/>
                <w:b/>
                <w:bCs/>
                <w:color w:val="1B3A5C"/>
                <w:sz w:val="18"/>
                <w:szCs w:val="18"/>
              </w:rPr>
              <w:t xml:space="preserve">Résultat</w:t>
            </w:r>
          </w:p>
        </w:tc>
        <w:tc>
          <w:tcPr>
            <w:tcW w:type="dxa" w:w="7026"/>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20"/>
                <w:szCs w:val="20"/>
              </w:rPr>
              <w:t xml:space="preserve">Horizon futur : Iran A_r_ne≈0.70 — fenêtre (a) possible 2026–2030</w:t>
            </w:r>
          </w:p>
        </w:tc>
      </w:tr>
      <w:tr>
        <w:tc>
          <w:tcPr>
            <w:tcW w:type="dxa" w:w="2000"/>
            <w:tcBorders>
              <w:top w:val="single" w:color="AABDD4" w:sz="1"/>
              <w:left w:val="single" w:color="AABDD4" w:sz="1"/>
              <w:bottom w:val="single" w:color="AABDD4" w:sz="1"/>
              <w:right w:val="single" w:color="AABDD4" w:sz="1"/>
            </w:tcBorders>
            <w:shd w:fill="D5E8F0" w:val="clear"/>
            <w:tcMar>
              <w:top w:type="dxa" w:w="80"/>
              <w:left w:type="dxa" w:w="120"/>
              <w:bottom w:type="dxa" w:w="80"/>
              <w:right w:type="dxa" w:w="120"/>
            </w:tcMar>
          </w:tcPr>
          <w:p>
            <w:r>
              <w:rPr>
                <w:rFonts w:ascii="Arial" w:cs="Arial" w:eastAsia="Arial" w:hAnsi="Arial"/>
                <w:b/>
                <w:bCs/>
                <w:color w:val="1B3A5C"/>
                <w:sz w:val="18"/>
                <w:szCs w:val="18"/>
              </w:rPr>
              <w:t xml:space="preserve">Condition de réfutation</w:t>
            </w:r>
          </w:p>
        </w:tc>
        <w:tc>
          <w:tcPr>
            <w:tcW w:type="dxa" w:w="7026"/>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8B1A1A"/>
                <w:sz w:val="20"/>
                <w:szCs w:val="20"/>
              </w:rPr>
              <w:t xml:space="preserve">Trajectoire (a) réussie avec A_r_ne &gt; 0.75 sans G exogène ≥ 7/10</w:t>
            </w:r>
          </w:p>
        </w:tc>
      </w:tr>
    </w:tbl>
    <w:p>
      <w:pPr>
        <w:spacing w:before="0" w:after="0"/>
        <w:jc w:val="left"/>
      </w:pPr>
      <w:r>
        <w:rPr>
          <w:rFonts w:ascii="Arial" w:cs="Arial" w:eastAsia="Arial" w:hAnsi="Arial"/>
          <w:color w:val="444444"/>
          <w:sz w:val="20"/>
          <w:szCs w:val="20"/>
        </w:rPr>
        <w:t xml:space="preserve"/>
      </w:r>
    </w:p>
    <w:p>
      <w:pPr>
        <w:pStyle w:val="Heading2"/>
        <w:spacing w:before="220" w:after="80"/>
      </w:pPr>
      <w:r>
        <w:rPr>
          <w:rFonts w:ascii="Arial" w:cs="Arial" w:eastAsia="Arial" w:hAnsi="Arial"/>
          <w:b/>
          <w:bCs/>
          <w:color w:val="2E6DA4"/>
          <w:sz w:val="28"/>
          <w:szCs w:val="28"/>
        </w:rPr>
        <w:t xml:space="preserve">P5 — Sa nucléaire absolu et trajectoire (e)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AABDD4" w:sz="1"/>
              <w:left w:val="single" w:color="AABDD4" w:sz="1"/>
              <w:bottom w:val="single" w:color="AABDD4" w:sz="1"/>
              <w:right w:val="single" w:color="AABDD4" w:sz="1"/>
            </w:tcBorders>
            <w:shd w:fill="D5E8F0" w:val="clear"/>
            <w:tcMar>
              <w:top w:type="dxa" w:w="80"/>
              <w:left w:type="dxa" w:w="120"/>
              <w:bottom w:type="dxa" w:w="80"/>
              <w:right w:type="dxa" w:w="120"/>
            </w:tcMar>
          </w:tcPr>
          <w:p>
            <w:r>
              <w:rPr>
                <w:rFonts w:ascii="Arial" w:cs="Arial" w:eastAsia="Arial" w:hAnsi="Arial"/>
                <w:b/>
                <w:bCs/>
                <w:color w:val="1B3A5C"/>
                <w:sz w:val="18"/>
                <w:szCs w:val="18"/>
              </w:rPr>
              <w:t xml:space="preserve">Proposition</w:t>
            </w:r>
          </w:p>
        </w:tc>
        <w:tc>
          <w:tcPr>
            <w:tcW w:type="dxa" w:w="7026"/>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20"/>
                <w:szCs w:val="20"/>
              </w:rPr>
              <w:t xml:space="preserve">Sa nucléaire + A_r_ne &lt; 0.2 + A_i accessible + Q4 ≥ 6/10 → trajectoire (e) avec probabilité ≥ 0.85 si Cs &gt; Cs*.</w:t>
            </w:r>
          </w:p>
        </w:tc>
      </w:tr>
      <w:tr>
        <w:tc>
          <w:tcPr>
            <w:tcW w:type="dxa" w:w="2000"/>
            <w:tcBorders>
              <w:top w:val="single" w:color="AABDD4" w:sz="1"/>
              <w:left w:val="single" w:color="AABDD4" w:sz="1"/>
              <w:bottom w:val="single" w:color="AABDD4" w:sz="1"/>
              <w:right w:val="single" w:color="AABDD4" w:sz="1"/>
            </w:tcBorders>
            <w:shd w:fill="D5E8F0" w:val="clear"/>
            <w:tcMar>
              <w:top w:type="dxa" w:w="80"/>
              <w:left w:type="dxa" w:w="120"/>
              <w:bottom w:type="dxa" w:w="80"/>
              <w:right w:type="dxa" w:w="120"/>
            </w:tcMar>
          </w:tcPr>
          <w:p>
            <w:r>
              <w:rPr>
                <w:rFonts w:ascii="Arial" w:cs="Arial" w:eastAsia="Arial" w:hAnsi="Arial"/>
                <w:b/>
                <w:bCs/>
                <w:color w:val="1B3A5C"/>
                <w:sz w:val="18"/>
                <w:szCs w:val="18"/>
              </w:rPr>
              <w:t xml:space="preserve">Test naturel</w:t>
            </w:r>
          </w:p>
        </w:tc>
        <w:tc>
          <w:tcPr>
            <w:tcW w:type="dxa" w:w="7026"/>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Islande 2008 (Sa nucléaire, A_r_ne=0.05, Q4=7) → (e) confirmée. Test de robustesse : Portugal 2010, Espagne 2010, Grèce 2010.</w:t>
            </w:r>
          </w:p>
        </w:tc>
      </w:tr>
      <w:tr>
        <w:tc>
          <w:tcPr>
            <w:tcW w:type="dxa" w:w="2000"/>
            <w:tcBorders>
              <w:top w:val="single" w:color="AABDD4" w:sz="1"/>
              <w:left w:val="single" w:color="AABDD4" w:sz="1"/>
              <w:bottom w:val="single" w:color="AABDD4" w:sz="1"/>
              <w:right w:val="single" w:color="AABDD4" w:sz="1"/>
            </w:tcBorders>
            <w:shd w:fill="D5E8F0" w:val="clear"/>
            <w:tcMar>
              <w:top w:type="dxa" w:w="80"/>
              <w:left w:type="dxa" w:w="120"/>
              <w:bottom w:type="dxa" w:w="80"/>
              <w:right w:type="dxa" w:w="120"/>
            </w:tcMar>
          </w:tcPr>
          <w:p>
            <w:r>
              <w:rPr>
                <w:rFonts w:ascii="Arial" w:cs="Arial" w:eastAsia="Arial" w:hAnsi="Arial"/>
                <w:b/>
                <w:bCs/>
                <w:color w:val="1B3A5C"/>
                <w:sz w:val="18"/>
                <w:szCs w:val="18"/>
              </w:rPr>
              <w:t xml:space="preserve">Résultat</w:t>
            </w:r>
          </w:p>
        </w:tc>
        <w:tc>
          <w:tcPr>
            <w:tcW w:type="dxa" w:w="7026"/>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20"/>
                <w:szCs w:val="20"/>
              </w:rPr>
              <w:t xml:space="preserve">Confirmée sur Islande. Note : Islande est WP-EXT-5 dans le corpus opérationnel V6.2 (déplacée hors les 27 WP principaux).</w:t>
            </w:r>
          </w:p>
        </w:tc>
      </w:tr>
      <w:tr>
        <w:tc>
          <w:tcPr>
            <w:tcW w:type="dxa" w:w="2000"/>
            <w:tcBorders>
              <w:top w:val="single" w:color="AABDD4" w:sz="1"/>
              <w:left w:val="single" w:color="AABDD4" w:sz="1"/>
              <w:bottom w:val="single" w:color="AABDD4" w:sz="1"/>
              <w:right w:val="single" w:color="AABDD4" w:sz="1"/>
            </w:tcBorders>
            <w:shd w:fill="D5E8F0" w:val="clear"/>
            <w:tcMar>
              <w:top w:type="dxa" w:w="80"/>
              <w:left w:type="dxa" w:w="120"/>
              <w:bottom w:type="dxa" w:w="80"/>
              <w:right w:type="dxa" w:w="120"/>
            </w:tcMar>
          </w:tcPr>
          <w:p>
            <w:r>
              <w:rPr>
                <w:rFonts w:ascii="Arial" w:cs="Arial" w:eastAsia="Arial" w:hAnsi="Arial"/>
                <w:b/>
                <w:bCs/>
                <w:color w:val="1B3A5C"/>
                <w:sz w:val="18"/>
                <w:szCs w:val="18"/>
              </w:rPr>
              <w:t xml:space="preserve">Condition de réfutation</w:t>
            </w:r>
          </w:p>
        </w:tc>
        <w:tc>
          <w:tcPr>
            <w:tcW w:type="dxa" w:w="7026"/>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8B1A1A"/>
                <w:sz w:val="20"/>
                <w:szCs w:val="20"/>
              </w:rPr>
              <w:t xml:space="preserve">Sa nucléaire + A_r_ne &lt; 0.2 + Q4 ≥ 6 + Cs &gt; Cs* → trajectoire autre que (e)</w:t>
            </w:r>
          </w:p>
        </w:tc>
      </w:tr>
    </w:tbl>
    <w:p>
      <w:pPr>
        <w:spacing w:before="0" w:after="0"/>
        <w:jc w:val="left"/>
      </w:pPr>
      <w:r>
        <w:rPr>
          <w:rFonts w:ascii="Arial" w:cs="Arial" w:eastAsia="Arial" w:hAnsi="Arial"/>
          <w:color w:val="444444"/>
          <w:sz w:val="20"/>
          <w:szCs w:val="20"/>
        </w:rPr>
        <w:t xml:space="preserve"/>
      </w:r>
    </w:p>
    <w:p>
      <w:r>
        <w:br w:type="page"/>
      </w:r>
    </w:p>
    <w:p>
      <w:pPr>
        <w:pStyle w:val="Heading1"/>
        <w:spacing w:before="280" w:after="100"/>
      </w:pPr>
      <w:r>
        <w:rPr>
          <w:rFonts w:ascii="Arial" w:cs="Arial" w:eastAsia="Arial" w:hAnsi="Arial"/>
          <w:b/>
          <w:bCs/>
          <w:color w:val="1B3A5C"/>
          <w:sz w:val="36"/>
          <w:szCs w:val="36"/>
        </w:rPr>
        <w:t xml:space="preserve">8. Annexe E révisée — Protocole de codage inter-codeurs V6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BDD4" w:sz="1"/>
              <w:left w:val="single" w:color="8B1A1A" w:sz="6"/>
              <w:bottom w:val="single" w:color="AABDD4" w:sz="1"/>
              <w:right w:val="single" w:color="AABDD4" w:sz="1"/>
            </w:tcBorders>
            <w:shd w:fill="EDF3FA" w:val="clear"/>
            <w:tcMar>
              <w:top w:type="dxa" w:w="80"/>
              <w:left w:type="dxa" w:w="200"/>
              <w:bottom w:type="dxa" w:w="80"/>
              <w:right w:type="dxa" w:w="120"/>
            </w:tcMar>
          </w:tcPr>
          <w:p>
            <w:pPr>
              <w:spacing w:before="0" w:after="0"/>
              <w:jc w:val="left"/>
            </w:pPr>
            <w:r>
              <w:rPr>
                <w:rFonts w:ascii="Arial" w:cs="Arial" w:eastAsia="Arial" w:hAnsi="Arial"/>
                <w:b/>
                <w:bCs/>
                <w:color w:val="8B1A1A"/>
                <w:sz w:val="18"/>
                <w:szCs w:val="18"/>
              </w:rPr>
              <w:t xml:space="preserve">Mise à jour V6.2 — CCI remplace κ — </w:t>
            </w:r>
            <w:r>
              <w:rPr>
                <w:rFonts w:ascii="Arial" w:cs="Arial" w:eastAsia="Arial" w:hAnsi="Arial"/>
                <w:color w:val="444444"/>
                <w:sz w:val="18"/>
                <w:szCs w:val="18"/>
              </w:rPr>
              <w:t xml:space="preserve">L'Addendum Théorique V6.2 (référence principale) remplace le κ de Cohen par le Coefficient de Corrélation Intraclasse (CCI two-way mixed, consistency). Le seuil de validation est CCI ≥ 0.70 par variable et CCI global ≥ 0.75. La grille de codage ci-dessous reste valide. Se référer à mepa_kappa_calculator.py (version CCI) pour le calcul automatisé.</w:t>
            </w:r>
          </w:p>
        </w:tc>
      </w:tr>
    </w:tbl>
    <w:p>
      <w:pPr>
        <w:spacing w:before="0" w:after="0"/>
        <w:jc w:val="left"/>
      </w:pPr>
      <w:r>
        <w:rPr>
          <w:rFonts w:ascii="Arial" w:cs="Arial" w:eastAsia="Arial" w:hAnsi="Arial"/>
          <w:color w:val="444444"/>
          <w:sz w:val="20"/>
          <w:szCs w:val="20"/>
        </w:rPr>
        <w:t xml:space="preserve"/>
      </w:r>
    </w:p>
    <w:p>
      <w:pPr>
        <w:pStyle w:val="Heading2"/>
        <w:spacing w:before="220" w:after="80"/>
      </w:pPr>
      <w:r>
        <w:rPr>
          <w:rFonts w:ascii="Arial" w:cs="Arial" w:eastAsia="Arial" w:hAnsi="Arial"/>
          <w:b/>
          <w:bCs/>
          <w:color w:val="2E6DA4"/>
          <w:sz w:val="28"/>
          <w:szCs w:val="28"/>
        </w:rPr>
        <w:t xml:space="preserve">8.1 Grille de codage opérationnelle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0"/>
        <w:gridCol w:w="800"/>
        <w:gridCol w:w="1000"/>
        <w:gridCol w:w="5426"/>
      </w:tblGrid>
      <w:tr>
        <w:trPr>
          <w:tblHeader/>
        </w:trPr>
        <w:tc>
          <w:tcPr>
            <w:tcW w:type="dxa" w:w="1000"/>
            <w:tcBorders>
              <w:top w:val="single" w:color="AABDD4" w:sz="1"/>
              <w:left w:val="single" w:color="AABDD4" w:sz="1"/>
              <w:bottom w:val="single" w:color="AABDD4" w:sz="1"/>
              <w:right w:val="single" w:color="AABDD4" w:sz="1"/>
            </w:tcBorders>
            <w:shd w:fill="D5E8F0" w:val="clear"/>
            <w:tcMar>
              <w:top w:type="dxa" w:w="80"/>
              <w:left w:type="dxa" w:w="120"/>
              <w:bottom w:type="dxa" w:w="80"/>
              <w:right w:type="dxa" w:w="120"/>
            </w:tcMar>
          </w:tcPr>
          <w:p>
            <w:r>
              <w:rPr>
                <w:rFonts w:ascii="Arial" w:cs="Arial" w:eastAsia="Arial" w:hAnsi="Arial"/>
                <w:b/>
                <w:bCs/>
                <w:color w:val="1B3A5C"/>
                <w:sz w:val="18"/>
                <w:szCs w:val="18"/>
              </w:rPr>
              <w:t xml:space="preserve">Symbole</w:t>
            </w:r>
          </w:p>
        </w:tc>
        <w:tc>
          <w:tcPr>
            <w:tcW w:type="dxa" w:w="800"/>
            <w:tcBorders>
              <w:top w:val="single" w:color="AABDD4" w:sz="1"/>
              <w:left w:val="single" w:color="AABDD4" w:sz="1"/>
              <w:bottom w:val="single" w:color="AABDD4" w:sz="1"/>
              <w:right w:val="single" w:color="AABDD4" w:sz="1"/>
            </w:tcBorders>
            <w:shd w:fill="D5E8F0" w:val="clear"/>
            <w:tcMar>
              <w:top w:type="dxa" w:w="80"/>
              <w:left w:type="dxa" w:w="120"/>
              <w:bottom w:type="dxa" w:w="80"/>
              <w:right w:type="dxa" w:w="120"/>
            </w:tcMar>
          </w:tcPr>
          <w:p>
            <w:r>
              <w:rPr>
                <w:rFonts w:ascii="Arial" w:cs="Arial" w:eastAsia="Arial" w:hAnsi="Arial"/>
                <w:b/>
                <w:bCs/>
                <w:color w:val="1B3A5C"/>
                <w:sz w:val="18"/>
                <w:szCs w:val="18"/>
              </w:rPr>
              <w:t xml:space="preserve">Échelle</w:t>
            </w:r>
          </w:p>
        </w:tc>
        <w:tc>
          <w:tcPr>
            <w:tcW w:type="dxa" w:w="800"/>
            <w:tcBorders>
              <w:top w:val="single" w:color="AABDD4" w:sz="1"/>
              <w:left w:val="single" w:color="AABDD4" w:sz="1"/>
              <w:bottom w:val="single" w:color="AABDD4" w:sz="1"/>
              <w:right w:val="single" w:color="AABDD4" w:sz="1"/>
            </w:tcBorders>
            <w:shd w:fill="D5E8F0" w:val="clear"/>
            <w:tcMar>
              <w:top w:type="dxa" w:w="80"/>
              <w:left w:type="dxa" w:w="120"/>
              <w:bottom w:type="dxa" w:w="80"/>
              <w:right w:type="dxa" w:w="120"/>
            </w:tcMar>
          </w:tcPr>
          <w:p>
            <w:r>
              <w:rPr>
                <w:rFonts w:ascii="Arial" w:cs="Arial" w:eastAsia="Arial" w:hAnsi="Arial"/>
                <w:b/>
                <w:bCs/>
                <w:color w:val="1B3A5C"/>
                <w:sz w:val="18"/>
                <w:szCs w:val="18"/>
              </w:rPr>
              <w:t xml:space="preserve">Seuil CCI</w:t>
            </w:r>
          </w:p>
        </w:tc>
        <w:tc>
          <w:tcPr>
            <w:tcW w:type="dxa" w:w="1000"/>
            <w:tcBorders>
              <w:top w:val="single" w:color="AABDD4" w:sz="1"/>
              <w:left w:val="single" w:color="AABDD4" w:sz="1"/>
              <w:bottom w:val="single" w:color="AABDD4" w:sz="1"/>
              <w:right w:val="single" w:color="AABDD4" w:sz="1"/>
            </w:tcBorders>
            <w:shd w:fill="D5E8F0" w:val="clear"/>
            <w:tcMar>
              <w:top w:type="dxa" w:w="80"/>
              <w:left w:type="dxa" w:w="120"/>
              <w:bottom w:type="dxa" w:w="80"/>
              <w:right w:type="dxa" w:w="120"/>
            </w:tcMar>
          </w:tcPr>
          <w:p>
            <w:r>
              <w:rPr>
                <w:rFonts w:ascii="Arial" w:cs="Arial" w:eastAsia="Arial" w:hAnsi="Arial"/>
                <w:b/>
                <w:bCs/>
                <w:color w:val="1B3A5C"/>
                <w:sz w:val="18"/>
                <w:szCs w:val="18"/>
              </w:rPr>
              <w:t xml:space="preserve">Ancre basse</w:t>
            </w:r>
          </w:p>
        </w:tc>
        <w:tc>
          <w:tcPr>
            <w:tcW w:type="dxa" w:w="5426"/>
            <w:tcBorders>
              <w:top w:val="single" w:color="AABDD4" w:sz="1"/>
              <w:left w:val="single" w:color="AABDD4" w:sz="1"/>
              <w:bottom w:val="single" w:color="AABDD4" w:sz="1"/>
              <w:right w:val="single" w:color="AABDD4" w:sz="1"/>
            </w:tcBorders>
            <w:shd w:fill="D5E8F0" w:val="clear"/>
            <w:tcMar>
              <w:top w:type="dxa" w:w="80"/>
              <w:left w:type="dxa" w:w="120"/>
              <w:bottom w:type="dxa" w:w="80"/>
              <w:right w:type="dxa" w:w="120"/>
            </w:tcMar>
          </w:tcPr>
          <w:p>
            <w:r>
              <w:rPr>
                <w:rFonts w:ascii="Arial" w:cs="Arial" w:eastAsia="Arial" w:hAnsi="Arial"/>
                <w:b/>
                <w:bCs/>
                <w:color w:val="1B3A5C"/>
                <w:sz w:val="18"/>
                <w:szCs w:val="18"/>
              </w:rPr>
              <w:t xml:space="preserve">Ancre haute</w:t>
            </w:r>
          </w:p>
        </w:tc>
      </w:tr>
      <w:tr>
        <w:tc>
          <w:tcPr>
            <w:tcW w:type="dxa" w:w="10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Courier New" w:cs="Courier New" w:eastAsia="Courier New" w:hAnsi="Courier New"/>
                <w:color w:val="1B3A5C"/>
                <w:sz w:val="18"/>
                <w:szCs w:val="18"/>
              </w:rPr>
              <w:t xml:space="preserve">E_split</w:t>
            </w:r>
          </w:p>
        </w:tc>
        <w:tc>
          <w:tcPr>
            <w:tcW w:type="dxa" w:w="8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Courier New" w:cs="Courier New" w:eastAsia="Courier New" w:hAnsi="Courier New"/>
                <w:color w:val="2E6DA4"/>
                <w:sz w:val="18"/>
                <w:szCs w:val="18"/>
              </w:rPr>
              <w:t xml:space="preserve">[0,1]</w:t>
            </w:r>
          </w:p>
        </w:tc>
        <w:tc>
          <w:tcPr>
            <w:tcW w:type="dxa" w:w="8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b/>
                <w:bCs/>
                <w:color w:val="2A7F7F"/>
                <w:sz w:val="18"/>
                <w:szCs w:val="18"/>
              </w:rPr>
              <w:t xml:space="preserve">0.15</w:t>
            </w:r>
          </w:p>
        </w:tc>
        <w:tc>
          <w:tcPr>
            <w:tcW w:type="dxa" w:w="10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&lt; 5% pop. active, aucune organisation</w:t>
            </w:r>
          </w:p>
        </w:tc>
        <w:tc>
          <w:tcPr>
            <w:tcW w:type="dxa" w:w="5426"/>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&gt; 20% pop. active, organisation formelle, doctrine articulée</w:t>
            </w:r>
          </w:p>
        </w:tc>
      </w:tr>
      <w:tr>
        <w:tc>
          <w:tcPr>
            <w:tcW w:type="dxa" w:w="10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Courier New" w:cs="Courier New" w:eastAsia="Courier New" w:hAnsi="Courier New"/>
                <w:color w:val="1B3A5C"/>
                <w:sz w:val="18"/>
                <w:szCs w:val="18"/>
              </w:rPr>
              <w:t xml:space="preserve">γ</w:t>
            </w:r>
          </w:p>
        </w:tc>
        <w:tc>
          <w:tcPr>
            <w:tcW w:type="dxa" w:w="8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Courier New" w:cs="Courier New" w:eastAsia="Courier New" w:hAnsi="Courier New"/>
                <w:color w:val="2E6DA4"/>
                <w:sz w:val="18"/>
                <w:szCs w:val="18"/>
              </w:rPr>
              <w:t xml:space="preserve">[0,1]</w:t>
            </w:r>
          </w:p>
        </w:tc>
        <w:tc>
          <w:tcPr>
            <w:tcW w:type="dxa" w:w="8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b/>
                <w:bCs/>
                <w:color w:val="2A7F7F"/>
                <w:sz w:val="18"/>
                <w:szCs w:val="18"/>
              </w:rPr>
              <w:t xml:space="preserve">0.15</w:t>
            </w:r>
          </w:p>
        </w:tc>
        <w:tc>
          <w:tcPr>
            <w:tcW w:type="dxa" w:w="10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17"/>
                <w:szCs w:val="17"/>
              </w:rPr>
              <w:t xml:space="preserve">Fragmentation max., leaders rivaux, aucun réseau</w:t>
            </w:r>
          </w:p>
        </w:tc>
        <w:tc>
          <w:tcPr>
            <w:tcW w:type="dxa" w:w="5426"/>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17"/>
                <w:szCs w:val="17"/>
              </w:rPr>
              <w:t xml:space="preserve">Doctrine unifiée, organisation centralisée, réseau dense</w:t>
            </w:r>
          </w:p>
        </w:tc>
      </w:tr>
      <w:tr>
        <w:tc>
          <w:tcPr>
            <w:tcW w:type="dxa" w:w="10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Courier New" w:cs="Courier New" w:eastAsia="Courier New" w:hAnsi="Courier New"/>
                <w:color w:val="1B3A5C"/>
                <w:sz w:val="18"/>
                <w:szCs w:val="18"/>
              </w:rPr>
              <w:t xml:space="preserve">A_d_eff</w:t>
            </w:r>
          </w:p>
        </w:tc>
        <w:tc>
          <w:tcPr>
            <w:tcW w:type="dxa" w:w="8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Courier New" w:cs="Courier New" w:eastAsia="Courier New" w:hAnsi="Courier New"/>
                <w:color w:val="2E6DA4"/>
                <w:sz w:val="18"/>
                <w:szCs w:val="18"/>
              </w:rPr>
              <w:t xml:space="preserve">[0,10]</w:t>
            </w:r>
          </w:p>
        </w:tc>
        <w:tc>
          <w:tcPr>
            <w:tcW w:type="dxa" w:w="8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b/>
                <w:bCs/>
                <w:color w:val="2A7F7F"/>
                <w:sz w:val="18"/>
                <w:szCs w:val="18"/>
              </w:rPr>
              <w:t xml:space="preserve">1.5</w:t>
            </w:r>
          </w:p>
        </w:tc>
        <w:tc>
          <w:tcPr>
            <w:tcW w:type="dxa" w:w="10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Faillite technique, inflation &gt; 30%, rupture services</w:t>
            </w:r>
          </w:p>
        </w:tc>
        <w:tc>
          <w:tcPr>
            <w:tcW w:type="dxa" w:w="5426"/>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Surplus, EROI net &gt; 10, croissance &gt; 3%, services expansion</w:t>
            </w:r>
          </w:p>
        </w:tc>
      </w:tr>
      <w:tr>
        <w:tc>
          <w:tcPr>
            <w:tcW w:type="dxa" w:w="10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Courier New" w:cs="Courier New" w:eastAsia="Courier New" w:hAnsi="Courier New"/>
                <w:color w:val="1B3A5C"/>
                <w:sz w:val="18"/>
                <w:szCs w:val="18"/>
              </w:rPr>
              <w:t xml:space="preserve">A_r_c</w:t>
            </w:r>
          </w:p>
        </w:tc>
        <w:tc>
          <w:tcPr>
            <w:tcW w:type="dxa" w:w="8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Courier New" w:cs="Courier New" w:eastAsia="Courier New" w:hAnsi="Courier New"/>
                <w:color w:val="2E6DA4"/>
                <w:sz w:val="18"/>
                <w:szCs w:val="18"/>
              </w:rPr>
              <w:t xml:space="preserve">[0,1]</w:t>
            </w:r>
          </w:p>
        </w:tc>
        <w:tc>
          <w:tcPr>
            <w:tcW w:type="dxa" w:w="8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b/>
                <w:bCs/>
                <w:color w:val="2A7F7F"/>
                <w:sz w:val="18"/>
                <w:szCs w:val="18"/>
              </w:rPr>
              <w:t xml:space="preserve">0.15</w:t>
            </w:r>
          </w:p>
        </w:tc>
        <w:tc>
          <w:tcPr>
            <w:tcW w:type="dxa" w:w="10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17"/>
                <w:szCs w:val="17"/>
              </w:rPr>
              <w:t xml:space="preserve">Aucune répression systématique, démocratie consolidée</w:t>
            </w:r>
          </w:p>
        </w:tc>
        <w:tc>
          <w:tcPr>
            <w:tcW w:type="dxa" w:w="5426"/>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17"/>
                <w:szCs w:val="17"/>
              </w:rPr>
              <w:t xml:space="preserve">Répression massive, états d'exception, torture documentée</w:t>
            </w:r>
          </w:p>
        </w:tc>
      </w:tr>
      <w:tr>
        <w:tc>
          <w:tcPr>
            <w:tcW w:type="dxa" w:w="10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Courier New" w:cs="Courier New" w:eastAsia="Courier New" w:hAnsi="Courier New"/>
                <w:color w:val="1B3A5C"/>
                <w:sz w:val="18"/>
                <w:szCs w:val="18"/>
              </w:rPr>
              <w:t xml:space="preserve">A_r_ne</w:t>
            </w:r>
          </w:p>
        </w:tc>
        <w:tc>
          <w:tcPr>
            <w:tcW w:type="dxa" w:w="8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Courier New" w:cs="Courier New" w:eastAsia="Courier New" w:hAnsi="Courier New"/>
                <w:color w:val="2E6DA4"/>
                <w:sz w:val="18"/>
                <w:szCs w:val="18"/>
              </w:rPr>
              <w:t xml:space="preserve">[0,1]</w:t>
            </w:r>
          </w:p>
        </w:tc>
        <w:tc>
          <w:tcPr>
            <w:tcW w:type="dxa" w:w="8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b/>
                <w:bCs/>
                <w:color w:val="2A7F7F"/>
                <w:sz w:val="18"/>
                <w:szCs w:val="18"/>
              </w:rPr>
              <w:t xml:space="preserve">0.15</w:t>
            </w:r>
          </w:p>
        </w:tc>
        <w:tc>
          <w:tcPr>
            <w:tcW w:type="dxa" w:w="10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Aucune surveillance, internet libre</w:t>
            </w:r>
          </w:p>
        </w:tc>
        <w:tc>
          <w:tcPr>
            <w:tcW w:type="dxa" w:w="5426"/>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Reconnaissance faciale + filtrage total + délation systématique</w:t>
            </w:r>
          </w:p>
        </w:tc>
      </w:tr>
      <w:tr>
        <w:tc>
          <w:tcPr>
            <w:tcW w:type="dxa" w:w="10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Courier New" w:cs="Courier New" w:eastAsia="Courier New" w:hAnsi="Courier New"/>
                <w:color w:val="1B3A5C"/>
                <w:sz w:val="18"/>
                <w:szCs w:val="18"/>
              </w:rPr>
              <w:t xml:space="preserve">Cs</w:t>
            </w:r>
          </w:p>
        </w:tc>
        <w:tc>
          <w:tcPr>
            <w:tcW w:type="dxa" w:w="8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Courier New" w:cs="Courier New" w:eastAsia="Courier New" w:hAnsi="Courier New"/>
                <w:color w:val="2E6DA4"/>
                <w:sz w:val="18"/>
                <w:szCs w:val="18"/>
              </w:rPr>
              <w:t xml:space="preserve">[0,1]</w:t>
            </w:r>
          </w:p>
        </w:tc>
        <w:tc>
          <w:tcPr>
            <w:tcW w:type="dxa" w:w="8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b/>
                <w:bCs/>
                <w:color w:val="2A7F7F"/>
                <w:sz w:val="18"/>
                <w:szCs w:val="18"/>
              </w:rPr>
              <w:t xml:space="preserve">0.15</w:t>
            </w:r>
          </w:p>
        </w:tc>
        <w:tc>
          <w:tcPr>
            <w:tcW w:type="dxa" w:w="10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17"/>
                <w:szCs w:val="17"/>
              </w:rPr>
              <w:t xml:space="preserve">Approbation &lt; 20%, scandales non résolus</w:t>
            </w:r>
          </w:p>
        </w:tc>
        <w:tc>
          <w:tcPr>
            <w:tcW w:type="dxa" w:w="5426"/>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17"/>
                <w:szCs w:val="17"/>
              </w:rPr>
              <w:t xml:space="preserve">Approbation &gt; 70%, légitimité de performance documentée</w:t>
            </w:r>
          </w:p>
        </w:tc>
      </w:tr>
      <w:tr>
        <w:tc>
          <w:tcPr>
            <w:tcW w:type="dxa" w:w="10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Courier New" w:cs="Courier New" w:eastAsia="Courier New" w:hAnsi="Courier New"/>
                <w:color w:val="1B3A5C"/>
                <w:sz w:val="18"/>
                <w:szCs w:val="18"/>
              </w:rPr>
              <w:t xml:space="preserve">EROI</w:t>
            </w:r>
          </w:p>
        </w:tc>
        <w:tc>
          <w:tcPr>
            <w:tcW w:type="dxa" w:w="8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Courier New" w:cs="Courier New" w:eastAsia="Courier New" w:hAnsi="Courier New"/>
                <w:color w:val="2E6DA4"/>
                <w:sz w:val="18"/>
                <w:szCs w:val="18"/>
              </w:rPr>
              <w:t xml:space="preserve">réel &gt; 0</w:t>
            </w:r>
          </w:p>
        </w:tc>
        <w:tc>
          <w:tcPr>
            <w:tcW w:type="dxa" w:w="8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b/>
                <w:bCs/>
                <w:color w:val="2A7F7F"/>
                <w:sz w:val="18"/>
                <w:szCs w:val="18"/>
              </w:rPr>
              <w:t xml:space="preserve">1.5</w:t>
            </w:r>
          </w:p>
        </w:tc>
        <w:tc>
          <w:tcPr>
            <w:tcW w:type="dxa" w:w="10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&lt; 3 : économie de subsistance</w:t>
            </w:r>
          </w:p>
        </w:tc>
        <w:tc>
          <w:tcPr>
            <w:tcW w:type="dxa" w:w="5426"/>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 20 : économie rentière ou renouvelable premium</w:t>
            </w:r>
          </w:p>
        </w:tc>
      </w:tr>
      <w:tr>
        <w:tc>
          <w:tcPr>
            <w:tcW w:type="dxa" w:w="10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Courier New" w:cs="Courier New" w:eastAsia="Courier New" w:hAnsi="Courier New"/>
                <w:color w:val="1B3A5C"/>
                <w:sz w:val="18"/>
                <w:szCs w:val="18"/>
              </w:rPr>
              <w:t xml:space="preserve">Sa</w:t>
            </w:r>
          </w:p>
        </w:tc>
        <w:tc>
          <w:tcPr>
            <w:tcW w:type="dxa" w:w="8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Courier New" w:cs="Courier New" w:eastAsia="Courier New" w:hAnsi="Courier New"/>
                <w:color w:val="2E6DA4"/>
                <w:sz w:val="18"/>
                <w:szCs w:val="18"/>
              </w:rPr>
              <w:t xml:space="preserve">{2,4,6,7}</w:t>
            </w:r>
          </w:p>
        </w:tc>
        <w:tc>
          <w:tcPr>
            <w:tcW w:type="dxa" w:w="8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b/>
                <w:bCs/>
                <w:color w:val="2A7F7F"/>
                <w:sz w:val="18"/>
                <w:szCs w:val="18"/>
              </w:rPr>
              <w:t xml:space="preserve">exact</w:t>
            </w:r>
          </w:p>
        </w:tc>
        <w:tc>
          <w:tcPr>
            <w:tcW w:type="dxa" w:w="10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17"/>
                <w:szCs w:val="17"/>
              </w:rPr>
              <w:t xml:space="preserve">Sa=2 nucléaire absolu (Anglo-saxon)</w:t>
            </w:r>
          </w:p>
        </w:tc>
        <w:tc>
          <w:tcPr>
            <w:tcW w:type="dxa" w:w="5426"/>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17"/>
                <w:szCs w:val="17"/>
              </w:rPr>
              <w:t xml:space="preserve">Sa=7 Souche (Allemagne, Japon) → p6×1.5</w:t>
            </w:r>
          </w:p>
        </w:tc>
      </w:tr>
    </w:tbl>
    <w:p>
      <w:pPr>
        <w:spacing w:before="0" w:after="0"/>
        <w:jc w:val="left"/>
      </w:pPr>
      <w:r>
        <w:rPr>
          <w:rFonts w:ascii="Arial" w:cs="Arial" w:eastAsia="Arial" w:hAnsi="Arial"/>
          <w:color w:val="444444"/>
          <w:sz w:val="20"/>
          <w:szCs w:val="20"/>
        </w:rPr>
        <w:t xml:space="preserve"/>
      </w:r>
    </w:p>
    <w:p>
      <w:r>
        <w:br w:type="page"/>
      </w:r>
    </w:p>
    <w:p>
      <w:pPr>
        <w:pStyle w:val="Heading1"/>
        <w:spacing w:before="280" w:after="100"/>
      </w:pPr>
      <w:r>
        <w:rPr>
          <w:rFonts w:ascii="Arial" w:cs="Arial" w:eastAsia="Arial" w:hAnsi="Arial"/>
          <w:b/>
          <w:bCs/>
          <w:color w:val="1B3A5C"/>
          <w:sz w:val="36"/>
          <w:szCs w:val="36"/>
        </w:rPr>
        <w:t xml:space="preserve">9. Feuille de route — V6.0 → V7.0 publiable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BDD4" w:sz="1"/>
              <w:left w:val="single" w:color="C47A1E" w:sz="6"/>
              <w:bottom w:val="single" w:color="AABDD4" w:sz="1"/>
              <w:right w:val="single" w:color="AABDD4" w:sz="1"/>
            </w:tcBorders>
            <w:shd w:fill="EDF3FA" w:val="clear"/>
            <w:tcMar>
              <w:top w:type="dxa" w:w="80"/>
              <w:left w:type="dxa" w:w="200"/>
              <w:bottom w:type="dxa" w:w="80"/>
              <w:right w:type="dxa" w:w="120"/>
            </w:tcMar>
          </w:tcPr>
          <w:p>
            <w:pPr>
              <w:spacing w:before="0" w:after="0"/>
              <w:jc w:val="left"/>
            </w:pPr>
            <w:r>
              <w:rPr>
                <w:rFonts w:ascii="Arial" w:cs="Arial" w:eastAsia="Arial" w:hAnsi="Arial"/>
                <w:b/>
                <w:bCs/>
                <w:color w:val="C47A1E"/>
                <w:sz w:val="18"/>
                <w:szCs w:val="18"/>
              </w:rPr>
              <w:t xml:space="preserve">WP pilotes de calibration V6.2 — </w:t>
            </w:r>
            <w:r>
              <w:rPr>
                <w:rFonts w:ascii="Arial" w:cs="Arial" w:eastAsia="Arial" w:hAnsi="Arial"/>
                <w:color w:val="444444"/>
                <w:sz w:val="18"/>
                <w:szCs w:val="18"/>
              </w:rPr>
              <w:t xml:space="preserve">La Phase 1 ci-dessous a été mise à jour pour refléter le corpus opérationnel V6.2. Les WP pilotes initiaux (Roumanie 1989, New Deal américain, Angleterre 1848) sont absents du corpus des 27 WP V6.2 et remplacés par : I10 Rwanda, C1 Haïti, C2 Égypte 2011, F1 Rome IIIe s., F2 Rome tardive, I7 URSS. Lancer après certification des 5 premiers WP (Stratification §6).</w:t>
            </w:r>
          </w:p>
        </w:tc>
      </w:tr>
    </w:tbl>
    <w:p>
      <w:pPr>
        <w:spacing w:before="0" w:after="0"/>
        <w:jc w:val="left"/>
      </w:pPr>
      <w:r>
        <w:rPr>
          <w:rFonts w:ascii="Arial" w:cs="Arial" w:eastAsia="Arial" w:hAnsi="Arial"/>
          <w:color w:val="444444"/>
          <w:sz w:val="20"/>
          <w:szCs w:val="20"/>
        </w:rPr>
        <w:t xml:space="preserve"/>
      </w:r>
    </w:p>
    <w:p>
      <w:pPr>
        <w:pStyle w:val="Heading2"/>
        <w:spacing w:before="220" w:after="80"/>
      </w:pPr>
      <w:r>
        <w:rPr>
          <w:rFonts w:ascii="Arial" w:cs="Arial" w:eastAsia="Arial" w:hAnsi="Arial"/>
          <w:b/>
          <w:bCs/>
          <w:color w:val="2E6DA4"/>
          <w:sz w:val="28"/>
          <w:szCs w:val="28"/>
        </w:rPr>
        <w:t xml:space="preserve">Phase 1 — Simulation et stress-test (6–18 mois)</w:t>
      </w:r>
    </w:p>
    <w:p>
      <w:pPr>
        <w:pStyle w:val="ListParagraph"/>
        <w:numPr>
          <w:ilvl w:val="0"/>
          <w:numId w:val="2"/>
        </w:numPr>
        <w:spacing w:before="40" w:after="40"/>
      </w:pPr>
      <w:r>
        <w:rPr>
          <w:rFonts w:ascii="Arial" w:cs="Arial" w:eastAsia="Arial" w:hAnsi="Arial"/>
          <w:color w:val="444444"/>
          <w:sz w:val="20"/>
          <w:szCs w:val="20"/>
        </w:rPr>
        <w:t xml:space="preserve">Implémentation numérique via mepa_runner_v2_gamma.py (Euler dt=1, 14 paramètres). Pipeline n8n opérationnel.</w:t>
      </w:r>
    </w:p>
    <w:p>
      <w:pPr>
        <w:pStyle w:val="ListParagraph"/>
        <w:numPr>
          <w:ilvl w:val="0"/>
          <w:numId w:val="2"/>
        </w:numPr>
        <w:spacing w:before="40" w:after="40"/>
      </w:pPr>
      <w:r>
        <w:rPr>
          <w:rFonts w:ascii="Arial" w:cs="Arial" w:eastAsia="Arial" w:hAnsi="Arial"/>
          <w:color w:val="444444"/>
          <w:sz w:val="20"/>
          <w:szCs w:val="20"/>
        </w:rPr>
        <w:t xml:space="preserve">Validation inter-codeurs CCI ≥ 0.70 sur 5 WP pilotes V6.2 : I10 (a), C1 Haïti (d), C2 Égypte (a), F1 Rome (d), I7 URSS (d).</w:t>
      </w:r>
    </w:p>
    <w:p>
      <w:pPr>
        <w:pStyle w:val="ListParagraph"/>
        <w:numPr>
          <w:ilvl w:val="0"/>
          <w:numId w:val="2"/>
        </w:numPr>
        <w:spacing w:before="40" w:after="40"/>
      </w:pPr>
      <w:r>
        <w:rPr>
          <w:rFonts w:ascii="Arial" w:cs="Arial" w:eastAsia="Arial" w:hAnsi="Arial"/>
          <w:color w:val="444444"/>
          <w:sz w:val="20"/>
          <w:szCs w:val="20"/>
        </w:rPr>
        <w:t xml:space="preserve">Analyse de sensibilité (méthode de Sobol) : identification des 3–4 paramètres dictant 80% des trajectoires.</w:t>
      </w:r>
    </w:p>
    <w:p>
      <w:pPr>
        <w:spacing w:before="0" w:after="0"/>
        <w:jc w:val="left"/>
      </w:pPr>
      <w:r>
        <w:rPr>
          <w:rFonts w:ascii="Arial" w:cs="Arial" w:eastAsia="Arial" w:hAnsi="Arial"/>
          <w:color w:val="444444"/>
          <w:sz w:val="20"/>
          <w:szCs w:val="20"/>
        </w:rPr>
        <w:t xml:space="preserve"/>
      </w:r>
    </w:p>
    <w:p>
      <w:pPr>
        <w:pStyle w:val="Heading2"/>
        <w:spacing w:before="220" w:after="80"/>
      </w:pPr>
      <w:r>
        <w:rPr>
          <w:rFonts w:ascii="Arial" w:cs="Arial" w:eastAsia="Arial" w:hAnsi="Arial"/>
          <w:b/>
          <w:bCs/>
          <w:color w:val="2E6DA4"/>
          <w:sz w:val="28"/>
          <w:szCs w:val="28"/>
        </w:rPr>
        <w:t xml:space="preserve">Phase 2 — Consolidation et publication (18–36 mois)</w:t>
      </w:r>
    </w:p>
    <w:p>
      <w:pPr>
        <w:pStyle w:val="ListParagraph"/>
        <w:numPr>
          <w:ilvl w:val="0"/>
          <w:numId w:val="2"/>
        </w:numPr>
        <w:spacing w:before="40" w:after="40"/>
      </w:pPr>
      <w:r>
        <w:rPr>
          <w:rFonts w:ascii="Arial" w:cs="Arial" w:eastAsia="Arial" w:hAnsi="Arial"/>
          <w:color w:val="444444"/>
          <w:sz w:val="20"/>
          <w:szCs w:val="20"/>
        </w:rPr>
        <w:t xml:space="preserve">Rédaction des 27 WP V6.2 selon le format 7 sections : S1 codage · S2 simulation · S3 concordance · S4 stress-test · S5 fiche · S6 Popper · S7 réfutation.</w:t>
      </w:r>
    </w:p>
    <w:p>
      <w:pPr>
        <w:pStyle w:val="ListParagraph"/>
        <w:numPr>
          <w:ilvl w:val="0"/>
          <w:numId w:val="2"/>
        </w:numPr>
        <w:spacing w:before="40" w:after="40"/>
      </w:pPr>
      <w:r>
        <w:rPr>
          <w:rFonts w:ascii="Arial" w:cs="Arial" w:eastAsia="Arial" w:hAnsi="Arial"/>
          <w:color w:val="444444"/>
          <w:sz w:val="20"/>
          <w:szCs w:val="20"/>
        </w:rPr>
        <w:t xml:space="preserve">Visualisation des attracteurs en espace de phases (contribution la plus demandée).</w:t>
      </w:r>
    </w:p>
    <w:p>
      <w:pPr>
        <w:pStyle w:val="ListParagraph"/>
        <w:numPr>
          <w:ilvl w:val="0"/>
          <w:numId w:val="2"/>
        </w:numPr>
        <w:spacing w:before="40" w:after="40"/>
      </w:pPr>
      <w:r>
        <w:rPr>
          <w:rFonts w:ascii="Arial" w:cs="Arial" w:eastAsia="Arial" w:hAnsi="Arial"/>
          <w:color w:val="444444"/>
          <w:sz w:val="20"/>
          <w:szCs w:val="20"/>
        </w:rPr>
        <w:t xml:space="preserve">Dataset historique étendu à 50–100 cas (EROI Hall et al., structures familiales Todd atlas, VDEM/Polity).</w:t>
      </w:r>
    </w:p>
    <w:p>
      <w:pPr>
        <w:pStyle w:val="ListParagraph"/>
        <w:numPr>
          <w:ilvl w:val="0"/>
          <w:numId w:val="2"/>
        </w:numPr>
        <w:spacing w:before="40" w:after="40"/>
      </w:pPr>
      <w:r>
        <w:rPr>
          <w:rFonts w:ascii="Arial" w:cs="Arial" w:eastAsia="Arial" w:hAnsi="Arial"/>
          <w:color w:val="444444"/>
          <w:sz w:val="20"/>
          <w:szCs w:val="20"/>
        </w:rPr>
        <w:t xml:space="preserve">Soumission à Nature Human Behaviour ou Journal of Conflict Resolution.</w:t>
      </w:r>
    </w:p>
    <w:p>
      <w:pPr>
        <w:spacing w:before="0" w:after="0"/>
        <w:jc w:val="left"/>
      </w:pPr>
      <w:r>
        <w:rPr>
          <w:rFonts w:ascii="Arial" w:cs="Arial" w:eastAsia="Arial" w:hAnsi="Arial"/>
          <w:color w:val="444444"/>
          <w:sz w:val="20"/>
          <w:szCs w:val="20"/>
        </w:rPr>
        <w:t xml:space="preserve"/>
      </w:r>
    </w:p>
    <w:p>
      <w:pPr>
        <w:pStyle w:val="Heading2"/>
        <w:spacing w:before="220" w:after="80"/>
      </w:pPr>
      <w:r>
        <w:rPr>
          <w:rFonts w:ascii="Arial" w:cs="Arial" w:eastAsia="Arial" w:hAnsi="Arial"/>
          <w:b/>
          <w:bCs/>
          <w:color w:val="2E6DA4"/>
          <w:sz w:val="28"/>
          <w:szCs w:val="28"/>
        </w:rPr>
        <w:t xml:space="preserve">Chantiers V7 identifiés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026"/>
      </w:tblGrid>
      <w:tr>
        <w:trPr>
          <w:tblHeader/>
        </w:trPr>
        <w:tc>
          <w:tcPr>
            <w:tcW w:type="dxa" w:w="3500"/>
            <w:tcBorders>
              <w:top w:val="single" w:color="AABDD4" w:sz="1"/>
              <w:left w:val="single" w:color="AABDD4" w:sz="1"/>
              <w:bottom w:val="single" w:color="AABDD4" w:sz="1"/>
              <w:right w:val="single" w:color="AABDD4" w:sz="1"/>
            </w:tcBorders>
            <w:shd w:fill="D5E8F0" w:val="clear"/>
            <w:tcMar>
              <w:top w:type="dxa" w:w="80"/>
              <w:left w:type="dxa" w:w="120"/>
              <w:bottom w:type="dxa" w:w="80"/>
              <w:right w:type="dxa" w:w="120"/>
            </w:tcMar>
          </w:tcPr>
          <w:p>
            <w:r>
              <w:rPr>
                <w:rFonts w:ascii="Arial" w:cs="Arial" w:eastAsia="Arial" w:hAnsi="Arial"/>
                <w:b/>
                <w:bCs/>
                <w:color w:val="1B3A5C"/>
                <w:sz w:val="18"/>
                <w:szCs w:val="18"/>
              </w:rPr>
              <w:t xml:space="preserve">Question V7</w:t>
            </w:r>
          </w:p>
        </w:tc>
        <w:tc>
          <w:tcPr>
            <w:tcW w:type="dxa" w:w="2500"/>
            <w:tcBorders>
              <w:top w:val="single" w:color="AABDD4" w:sz="1"/>
              <w:left w:val="single" w:color="AABDD4" w:sz="1"/>
              <w:bottom w:val="single" w:color="AABDD4" w:sz="1"/>
              <w:right w:val="single" w:color="AABDD4" w:sz="1"/>
            </w:tcBorders>
            <w:shd w:fill="D5E8F0" w:val="clear"/>
            <w:tcMar>
              <w:top w:type="dxa" w:w="80"/>
              <w:left w:type="dxa" w:w="120"/>
              <w:bottom w:type="dxa" w:w="80"/>
              <w:right w:type="dxa" w:w="120"/>
            </w:tcMar>
          </w:tcPr>
          <w:p>
            <w:r>
              <w:rPr>
                <w:rFonts w:ascii="Arial" w:cs="Arial" w:eastAsia="Arial" w:hAnsi="Arial"/>
                <w:b/>
                <w:bCs/>
                <w:color w:val="1B3A5C"/>
                <w:sz w:val="18"/>
                <w:szCs w:val="18"/>
              </w:rPr>
              <w:t xml:space="preserve">WP qui la soulèvent</w:t>
            </w:r>
          </w:p>
        </w:tc>
        <w:tc>
          <w:tcPr>
            <w:tcW w:type="dxa" w:w="3026"/>
            <w:tcBorders>
              <w:top w:val="single" w:color="AABDD4" w:sz="1"/>
              <w:left w:val="single" w:color="AABDD4" w:sz="1"/>
              <w:bottom w:val="single" w:color="AABDD4" w:sz="1"/>
              <w:right w:val="single" w:color="AABDD4" w:sz="1"/>
            </w:tcBorders>
            <w:shd w:fill="D5E8F0" w:val="clear"/>
            <w:tcMar>
              <w:top w:type="dxa" w:w="80"/>
              <w:left w:type="dxa" w:w="120"/>
              <w:bottom w:type="dxa" w:w="80"/>
              <w:right w:type="dxa" w:w="120"/>
            </w:tcMar>
          </w:tcPr>
          <w:p>
            <w:r>
              <w:rPr>
                <w:rFonts w:ascii="Arial" w:cs="Arial" w:eastAsia="Arial" w:hAnsi="Arial"/>
                <w:b/>
                <w:bCs/>
                <w:color w:val="1B3A5C"/>
                <w:sz w:val="18"/>
                <w:szCs w:val="18"/>
              </w:rPr>
              <w:t xml:space="preserve">Horizon estimé</w:t>
            </w:r>
          </w:p>
        </w:tc>
      </w:tr>
      <w:tr>
        <w:tc>
          <w:tcPr>
            <w:tcW w:type="dxa" w:w="35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Sa multiplicatif (Japon, Singapour) → 15e paramètre p_vis ?</w:t>
            </w:r>
          </w:p>
        </w:tc>
        <w:tc>
          <w:tcPr>
            <w:tcW w:type="dxa" w:w="25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I3 (Japon), I9 (Singapour), F9 (Angleterre)</w:t>
            </w:r>
          </w:p>
        </w:tc>
        <w:tc>
          <w:tcPr>
            <w:tcW w:type="dxa" w:w="3026"/>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b/>
                <w:bCs/>
                <w:color w:val="2A7F7F"/>
                <w:sz w:val="17"/>
                <w:szCs w:val="17"/>
              </w:rPr>
              <w:t xml:space="preserve">Après 5 WP Cluster C3</w:t>
            </w:r>
          </w:p>
        </w:tc>
      </w:tr>
      <w:tr>
        <w:tc>
          <w:tcPr>
            <w:tcW w:type="dxa" w:w="35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17"/>
                <w:szCs w:val="17"/>
              </w:rPr>
              <w:t xml:space="preserve">Terme stochastique η(t) dans dS/dt (chocs exogènes)</w:t>
            </w:r>
          </w:p>
        </w:tc>
        <w:tc>
          <w:tcPr>
            <w:tcW w:type="dxa" w:w="25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17"/>
                <w:szCs w:val="17"/>
              </w:rPr>
              <w:t xml:space="preserve">F8 (France), T1 (Sécession), C3 (Argentine)</w:t>
            </w:r>
          </w:p>
        </w:tc>
        <w:tc>
          <w:tcPr>
            <w:tcW w:type="dxa" w:w="3026"/>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b/>
                <w:bCs/>
                <w:color w:val="2A7F7F"/>
                <w:sz w:val="17"/>
                <w:szCs w:val="17"/>
              </w:rPr>
              <w:t xml:space="preserve">Après calibration bayésienne</w:t>
            </w:r>
          </w:p>
        </w:tc>
      </w:tr>
      <w:tr>
        <w:tc>
          <w:tcPr>
            <w:tcW w:type="dxa" w:w="35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Plancher I_min = f(Rc) — dépendance structurelle</w:t>
            </w:r>
          </w:p>
        </w:tc>
        <w:tc>
          <w:tcPr>
            <w:tcW w:type="dxa" w:w="25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I6 (Tiananmen), C6 (Chine Xi), I9 (Singapour)</w:t>
            </w:r>
          </w:p>
        </w:tc>
        <w:tc>
          <w:tcPr>
            <w:tcW w:type="dxa" w:w="3026"/>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b/>
                <w:bCs/>
                <w:color w:val="2A7F7F"/>
                <w:sz w:val="17"/>
                <w:szCs w:val="17"/>
              </w:rPr>
              <w:t xml:space="preserve">Après 5 WP Cluster C4</w:t>
            </w:r>
          </w:p>
        </w:tc>
      </w:tr>
      <w:tr>
        <w:tc>
          <w:tcPr>
            <w:tcW w:type="dxa" w:w="35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17"/>
                <w:szCs w:val="17"/>
              </w:rPr>
              <w:t xml:space="preserve">Reset d'état inter-phases (trajectoires séquentielles)</w:t>
            </w:r>
          </w:p>
        </w:tc>
        <w:tc>
          <w:tcPr>
            <w:tcW w:type="dxa" w:w="25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17"/>
                <w:szCs w:val="17"/>
              </w:rPr>
              <w:t xml:space="preserve">I1 (Angleterre), I3 (Japon), C5 (Iran)</w:t>
            </w:r>
          </w:p>
        </w:tc>
        <w:tc>
          <w:tcPr>
            <w:tcW w:type="dxa" w:w="3026"/>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b/>
                <w:bCs/>
                <w:color w:val="2A7F7F"/>
                <w:sz w:val="17"/>
                <w:szCs w:val="17"/>
              </w:rPr>
              <w:t xml:space="preserve">V7.0 — mécanisme formel requis</w:t>
            </w:r>
          </w:p>
        </w:tc>
      </w:tr>
      <w:tr>
        <w:tc>
          <w:tcPr>
            <w:tcW w:type="dxa" w:w="35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dE_split/dt endogène formalisé</w:t>
            </w:r>
          </w:p>
        </w:tc>
        <w:tc>
          <w:tcPr>
            <w:tcW w:type="dxa" w:w="25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F5 (Han), F8 (France), I3 (Japon), C6 (Chine)</w:t>
            </w:r>
          </w:p>
        </w:tc>
        <w:tc>
          <w:tcPr>
            <w:tcW w:type="dxa" w:w="3026"/>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b/>
                <w:bCs/>
                <w:color w:val="2A7F7F"/>
                <w:sz w:val="17"/>
                <w:szCs w:val="17"/>
              </w:rPr>
              <w:t xml:space="preserve">18–24 mois post-programme</w:t>
            </w:r>
          </w:p>
        </w:tc>
      </w:tr>
      <w:tr>
        <w:tc>
          <w:tcPr>
            <w:tcW w:type="dxa" w:w="35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17"/>
                <w:szCs w:val="17"/>
              </w:rPr>
              <w:t xml:space="preserve">(f) Mutation dirigée — implémentation pipeline</w:t>
            </w:r>
          </w:p>
        </w:tc>
        <w:tc>
          <w:tcPr>
            <w:tcW w:type="dxa" w:w="25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17"/>
                <w:szCs w:val="17"/>
              </w:rPr>
              <w:t xml:space="preserve">I3 post-1945 (hors t_max)</w:t>
            </w:r>
          </w:p>
        </w:tc>
        <w:tc>
          <w:tcPr>
            <w:tcW w:type="dxa" w:w="3026"/>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b/>
                <w:bCs/>
                <w:color w:val="2A7F7F"/>
                <w:sz w:val="17"/>
                <w:szCs w:val="17"/>
              </w:rPr>
              <w:t xml:space="preserve">V7.0 — décision architecture requise</w:t>
            </w:r>
          </w:p>
        </w:tc>
      </w:tr>
      <w:tr>
        <w:tc>
          <w:tcPr>
            <w:tcW w:type="dxa" w:w="35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EROI renouvelables dans les équations du modèle</w:t>
            </w:r>
          </w:p>
        </w:tc>
        <w:tc>
          <w:tcPr>
            <w:tcW w:type="dxa" w:w="25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C1 (Haïti), C6 (transition charbon→solaire)</w:t>
            </w:r>
          </w:p>
        </w:tc>
        <w:tc>
          <w:tcPr>
            <w:tcW w:type="dxa" w:w="3026"/>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b/>
                <w:bCs/>
                <w:color w:val="2A7F7F"/>
                <w:sz w:val="17"/>
                <w:szCs w:val="17"/>
              </w:rPr>
              <w:t xml:space="preserve">24–36 mois — chantier structurant</w:t>
            </w:r>
          </w:p>
        </w:tc>
      </w:tr>
    </w:tbl>
    <w:p>
      <w:pPr>
        <w:spacing w:before="0" w:after="0"/>
        <w:jc w:val="left"/>
      </w:pPr>
      <w:r>
        <w:rPr>
          <w:rFonts w:ascii="Arial" w:cs="Arial" w:eastAsia="Arial" w:hAnsi="Arial"/>
          <w:color w:val="444444"/>
          <w:sz w:val="20"/>
          <w:szCs w:val="20"/>
        </w:rPr>
        <w:t xml:space="preserve"/>
      </w:r>
    </w:p>
    <w:p>
      <w:pPr>
        <w:pStyle w:val="Heading1"/>
        <w:spacing w:before="280" w:after="100"/>
      </w:pPr>
      <w:r>
        <w:rPr>
          <w:rFonts w:ascii="Arial" w:cs="Arial" w:eastAsia="Arial" w:hAnsi="Arial"/>
          <w:b/>
          <w:bCs/>
          <w:color w:val="1B3A5C"/>
          <w:sz w:val="36"/>
          <w:szCs w:val="36"/>
        </w:rPr>
        <w:t xml:space="preserve">10. Journal des révisions — V4.2 → V6.0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5826"/>
        <w:gridCol w:w="2000"/>
      </w:tblGrid>
      <w:tr>
        <w:trPr>
          <w:tblHeader/>
        </w:trPr>
        <w:tc>
          <w:tcPr>
            <w:tcW w:type="dxa" w:w="1200"/>
            <w:tcBorders>
              <w:top w:val="single" w:color="AABDD4" w:sz="1"/>
              <w:left w:val="single" w:color="AABDD4" w:sz="1"/>
              <w:bottom w:val="single" w:color="AABDD4" w:sz="1"/>
              <w:right w:val="single" w:color="AABDD4" w:sz="1"/>
            </w:tcBorders>
            <w:shd w:fill="D5E8F0" w:val="clear"/>
            <w:tcMar>
              <w:top w:type="dxa" w:w="80"/>
              <w:left w:type="dxa" w:w="120"/>
              <w:bottom w:type="dxa" w:w="80"/>
              <w:right w:type="dxa" w:w="120"/>
            </w:tcMar>
          </w:tcPr>
          <w:p>
            <w:r>
              <w:rPr>
                <w:rFonts w:ascii="Arial" w:cs="Arial" w:eastAsia="Arial" w:hAnsi="Arial"/>
                <w:b/>
                <w:bCs/>
                <w:color w:val="1B3A5C"/>
                <w:sz w:val="18"/>
                <w:szCs w:val="18"/>
              </w:rPr>
              <w:t xml:space="preserve">Version</w:t>
            </w:r>
          </w:p>
        </w:tc>
        <w:tc>
          <w:tcPr>
            <w:tcW w:type="dxa" w:w="5826"/>
            <w:tcBorders>
              <w:top w:val="single" w:color="AABDD4" w:sz="1"/>
              <w:left w:val="single" w:color="AABDD4" w:sz="1"/>
              <w:bottom w:val="single" w:color="AABDD4" w:sz="1"/>
              <w:right w:val="single" w:color="AABDD4" w:sz="1"/>
            </w:tcBorders>
            <w:shd w:fill="D5E8F0" w:val="clear"/>
            <w:tcMar>
              <w:top w:type="dxa" w:w="80"/>
              <w:left w:type="dxa" w:w="120"/>
              <w:bottom w:type="dxa" w:w="80"/>
              <w:right w:type="dxa" w:w="120"/>
            </w:tcMar>
          </w:tcPr>
          <w:p>
            <w:r>
              <w:rPr>
                <w:rFonts w:ascii="Arial" w:cs="Arial" w:eastAsia="Arial" w:hAnsi="Arial"/>
                <w:b/>
                <w:bCs/>
                <w:color w:val="1B3A5C"/>
                <w:sz w:val="18"/>
                <w:szCs w:val="18"/>
              </w:rPr>
              <w:t xml:space="preserve">Apport principal</w:t>
            </w:r>
          </w:p>
        </w:tc>
        <w:tc>
          <w:tcPr>
            <w:tcW w:type="dxa" w:w="2000"/>
            <w:tcBorders>
              <w:top w:val="single" w:color="AABDD4" w:sz="1"/>
              <w:left w:val="single" w:color="AABDD4" w:sz="1"/>
              <w:bottom w:val="single" w:color="AABDD4" w:sz="1"/>
              <w:right w:val="single" w:color="AABDD4" w:sz="1"/>
            </w:tcBorders>
            <w:shd w:fill="D5E8F0" w:val="clear"/>
            <w:tcMar>
              <w:top w:type="dxa" w:w="80"/>
              <w:left w:type="dxa" w:w="120"/>
              <w:bottom w:type="dxa" w:w="80"/>
              <w:right w:type="dxa" w:w="120"/>
            </w:tcMar>
          </w:tcPr>
          <w:p>
            <w:r>
              <w:rPr>
                <w:rFonts w:ascii="Arial" w:cs="Arial" w:eastAsia="Arial" w:hAnsi="Arial"/>
                <w:b/>
                <w:bCs/>
                <w:color w:val="1B3A5C"/>
                <w:sz w:val="18"/>
                <w:szCs w:val="18"/>
              </w:rPr>
              <w:t xml:space="preserve">Statut</w:t>
            </w:r>
          </w:p>
        </w:tc>
      </w:tr>
      <w:tr>
        <w:tc>
          <w:tcPr>
            <w:tcW w:type="dxa" w:w="12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b/>
                <w:bCs/>
                <w:color w:val="1B3A5C"/>
                <w:sz w:val="18"/>
                <w:szCs w:val="18"/>
              </w:rPr>
              <w:t xml:space="preserve">V4.2</w:t>
            </w:r>
          </w:p>
        </w:tc>
        <w:tc>
          <w:tcPr>
            <w:tcW w:type="dxa" w:w="5826"/>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Architecture de base (5 trajectoires, F &gt; R, EROI/A_d_max, Sa Todd)</w:t>
            </w:r>
          </w:p>
        </w:tc>
        <w:tc>
          <w:tcPr>
            <w:tcW w:type="dxa" w:w="20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Archivé</w:t>
            </w:r>
          </w:p>
        </w:tc>
      </w:tr>
      <w:tr>
        <w:tc>
          <w:tcPr>
            <w:tcW w:type="dxa" w:w="12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b/>
                <w:bCs/>
                <w:color w:val="1B3A5C"/>
                <w:sz w:val="18"/>
                <w:szCs w:val="18"/>
              </w:rPr>
              <w:t xml:space="preserve">V5.0</w:t>
            </w:r>
          </w:p>
        </w:tc>
        <w:tc>
          <w:tcPr>
            <w:tcW w:type="dxa" w:w="5826"/>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18"/>
                <w:szCs w:val="18"/>
              </w:rPr>
              <w:t xml:space="preserve">H_ind vs H_col · Cs et effet boomerang · L(t) endogène · Sa intégré</w:t>
            </w:r>
          </w:p>
        </w:tc>
        <w:tc>
          <w:tcPr>
            <w:tcW w:type="dxa" w:w="20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18"/>
                <w:szCs w:val="18"/>
              </w:rPr>
              <w:t xml:space="preserve">Archivé</w:t>
            </w:r>
          </w:p>
        </w:tc>
      </w:tr>
      <w:tr>
        <w:tc>
          <w:tcPr>
            <w:tcW w:type="dxa" w:w="12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b/>
                <w:bCs/>
                <w:color w:val="1B3A5C"/>
                <w:sz w:val="18"/>
                <w:szCs w:val="18"/>
              </w:rPr>
              <w:t xml:space="preserve">V5.3</w:t>
            </w:r>
          </w:p>
        </w:tc>
        <w:tc>
          <w:tcPr>
            <w:tcW w:type="dxa" w:w="5826"/>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3 arcs N0 · 27 WP · Annexe E · section P6 · couches temporelles</w:t>
            </w:r>
          </w:p>
        </w:tc>
        <w:tc>
          <w:tcPr>
            <w:tcW w:type="dxa" w:w="20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Référence</w:t>
            </w:r>
          </w:p>
        </w:tc>
      </w:tr>
      <w:tr>
        <w:tc>
          <w:tcPr>
            <w:tcW w:type="dxa" w:w="12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b/>
                <w:bCs/>
                <w:color w:val="1B3A5C"/>
                <w:sz w:val="18"/>
                <w:szCs w:val="18"/>
              </w:rPr>
              <w:t xml:space="preserve">V6.0 (présent)</w:t>
            </w:r>
          </w:p>
        </w:tc>
        <w:tc>
          <w:tcPr>
            <w:tcW w:type="dxa" w:w="5826"/>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18"/>
                <w:szCs w:val="18"/>
              </w:rPr>
              <w:t xml:space="preserve">γ dans Éq. 5 · 5 Clusters 25 WP · 5 prédictions Popper · R_stat/R_dyn · double notation</w:t>
            </w:r>
          </w:p>
        </w:tc>
        <w:tc>
          <w:tcPr>
            <w:tcW w:type="dxa" w:w="20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18"/>
                <w:szCs w:val="18"/>
              </w:rPr>
              <w:t xml:space="preserve">Courant</w:t>
            </w:r>
          </w:p>
        </w:tc>
      </w:tr>
      <w:tr>
        <w:tc>
          <w:tcPr>
            <w:tcW w:type="dxa" w:w="12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b/>
                <w:bCs/>
                <w:color w:val="1B3A5C"/>
                <w:sz w:val="18"/>
                <w:szCs w:val="18"/>
              </w:rPr>
              <w:t xml:space="preserve">V6.2 (opérationnel)</w:t>
            </w:r>
          </w:p>
        </w:tc>
        <w:tc>
          <w:tcPr>
            <w:tcW w:type="dxa" w:w="5826"/>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Corrections D2-D6 · CCI inter-codeurs · variable NC · mepa_constants.json · 6 conversations spécialisées</w:t>
            </w:r>
          </w:p>
        </w:tc>
        <w:tc>
          <w:tcPr>
            <w:tcW w:type="dxa" w:w="2000"/>
            <w:tcBorders>
              <w:top w:val="single" w:color="AABDD4" w:sz="1"/>
              <w:left w:val="single" w:color="AABDD4" w:sz="1"/>
              <w:bottom w:val="single" w:color="AABDD4" w:sz="1"/>
              <w:right w:val="single" w:color="AABDD4"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Addendum V6.2</w:t>
            </w:r>
          </w:p>
        </w:tc>
      </w:tr>
      <w:tr>
        <w:tc>
          <w:tcPr>
            <w:tcW w:type="dxa" w:w="12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b/>
                <w:bCs/>
                <w:color w:val="1B3A5C"/>
                <w:sz w:val="18"/>
                <w:szCs w:val="18"/>
              </w:rPr>
              <w:t xml:space="preserve">V7.0 (cible)</w:t>
            </w:r>
          </w:p>
        </w:tc>
        <w:tc>
          <w:tcPr>
            <w:tcW w:type="dxa" w:w="5826"/>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18"/>
                <w:szCs w:val="18"/>
              </w:rPr>
              <w:t xml:space="preserve">Simulation numérique · ACP coefficients · espace de phases · dataset 50–100 cas · publication</w:t>
            </w:r>
          </w:p>
        </w:tc>
        <w:tc>
          <w:tcPr>
            <w:tcW w:type="dxa" w:w="2000"/>
            <w:tcBorders>
              <w:top w:val="single" w:color="AABDD4" w:sz="1"/>
              <w:left w:val="single" w:color="AABDD4" w:sz="1"/>
              <w:bottom w:val="single" w:color="AABDD4" w:sz="1"/>
              <w:right w:val="single" w:color="AABDD4" w:sz="1"/>
            </w:tcBorders>
            <w:shd w:fill="EDF3FA" w:val="clear"/>
            <w:tcMar>
              <w:top w:type="dxa" w:w="80"/>
              <w:left w:type="dxa" w:w="120"/>
              <w:bottom w:type="dxa" w:w="80"/>
              <w:right w:type="dxa" w:w="120"/>
            </w:tcMar>
          </w:tcPr>
          <w:p>
            <w:r>
              <w:rPr>
                <w:rFonts w:ascii="Arial" w:cs="Arial" w:eastAsia="Arial" w:hAnsi="Arial"/>
                <w:color w:val="444444"/>
                <w:sz w:val="18"/>
                <w:szCs w:val="18"/>
              </w:rPr>
              <w:t xml:space="preserve">Planifié</w:t>
            </w:r>
          </w:p>
        </w:tc>
      </w:tr>
    </w:tbl>
    <w:p>
      <w:pPr>
        <w:spacing w:before="0" w:after="0"/>
        <w:jc w:val="left"/>
      </w:pPr>
      <w:r>
        <w:rPr>
          <w:rFonts w:ascii="Arial" w:cs="Arial" w:eastAsia="Arial" w:hAnsi="Arial"/>
          <w:color w:val="444444"/>
          <w:sz w:val="20"/>
          <w:szCs w:val="20"/>
        </w:rPr>
        <w:t xml:space="preserve"/>
      </w:r>
    </w:p>
    <w:p>
      <w:pPr>
        <w:spacing w:before="200" w:after="0"/>
        <w:jc w:val="center"/>
      </w:pPr>
      <w:r>
        <w:rPr>
          <w:rFonts w:ascii="Arial" w:cs="Arial" w:eastAsia="Arial" w:hAnsi="Arial"/>
          <w:color w:val="AAAAAA"/>
          <w:sz w:val="18"/>
          <w:szCs w:val="18"/>
        </w:rPr>
        <w:t xml:space="preserve">— Fin du Cadre Théorique MEPA V6.0 (mis à jour V6.2) —</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after="0"/>
      <w:jc w:val="center"/>
    </w:pPr>
    <w:r>
      <w:rPr>
        <w:rFonts w:ascii="Arial" w:cs="Arial" w:eastAsia="Arial" w:hAnsi="Arial"/>
        <w:color w:val="AAAAAA"/>
        <w:sz w:val="17"/>
        <w:szCs w:val="17"/>
      </w:rPr>
      <w:t xml:space="preserve">MEPA V6.0 — Usage interne confidentiel  ·  p. </w:t>
    </w:r>
    <w:r>
      <w:rPr>
        <w:rFonts w:ascii="Arial" w:cs="Arial" w:eastAsia="Arial" w:hAnsi="Arial"/>
        <w:color w:val="AAAAAA"/>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before="0" w:after="0"/>
      <w:jc w:val="right"/>
    </w:pPr>
    <w:r>
      <w:rPr>
        <w:rFonts w:ascii="Arial" w:cs="Arial" w:eastAsia="Arial" w:hAnsi="Arial"/>
        <w:color w:val="AAAAAA"/>
        <w:sz w:val="17"/>
        <w:szCs w:val="17"/>
      </w:rPr>
      <w:t xml:space="preserve">MEPA — Cadre Théorique Intégral V6.0  ·  Version A Double Public  ·  Mars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00"/>
      <w:outlineLvl w:val="0"/>
    </w:pPr>
    <w:rPr>
      <w:rFonts w:ascii="Arial" w:cs="Arial" w:eastAsia="Arial" w:hAnsi="Arial"/>
      <w:b/>
      <w:bCs/>
      <w:color w:val="1B3A5C"/>
      <w:sz w:val="36"/>
      <w:szCs w:val="36"/>
    </w:rPr>
  </w:style>
  <w:style w:type="paragraph" w:styleId="Heading2">
    <w:name w:val="Heading 2"/>
    <w:basedOn w:val="Normal"/>
    <w:next w:val="Normal"/>
    <w:qFormat/>
    <w:pPr>
      <w:spacing w:before="220" w:after="80"/>
      <w:outlineLvl w:val="1"/>
    </w:pPr>
    <w:rPr>
      <w:rFonts w:ascii="Arial" w:cs="Arial" w:eastAsia="Arial" w:hAnsi="Arial"/>
      <w:b/>
      <w:bCs/>
      <w:color w:val="2E6DA4"/>
      <w:sz w:val="28"/>
      <w:szCs w:val="28"/>
    </w:rPr>
  </w:style>
  <w:style w:type="paragraph" w:styleId="Heading3">
    <w:name w:val="Heading 3"/>
    <w:basedOn w:val="Normal"/>
    <w:next w:val="Normal"/>
    <w:qFormat/>
    <w:pPr>
      <w:spacing w:before="160" w:after="60"/>
      <w:outlineLvl w:val="2"/>
    </w:pPr>
    <w:rPr>
      <w:rFonts w:ascii="Arial" w:cs="Arial" w:eastAsia="Arial" w:hAnsi="Arial"/>
      <w:b/>
      <w:bCs/>
      <w:color w:val="2A7F7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2026-03-13T22:15:51.077Z</dcterms:created>
  <dcterms:modified xsi:type="dcterms:W3CDTF">2026-03-13T22:15:51.078Z</dcterms:modified>
</cp:coreProperties>
</file>

<file path=docProps/custom.xml><?xml version="1.0" encoding="utf-8"?>
<Properties xmlns="http://schemas.openxmlformats.org/officeDocument/2006/custom-properties" xmlns:vt="http://schemas.openxmlformats.org/officeDocument/2006/docPropsVTypes"/>
</file>