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GLOSSAIRE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fichier : imf_global_debt_database_clean.csv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</w:rPr>
      </w:pPr>
      <w:r>
        <w:rPr>
          <w:color w:val="C9211E"/>
        </w:rPr>
        <w:t>COUNTRY</w:t>
      </w:r>
    </w:p>
    <w:p>
      <w:pPr>
        <w:pStyle w:val="Normal"/>
        <w:bidi w:val="0"/>
        <w:jc w:val="left"/>
        <w:rPr/>
      </w:pPr>
      <w:r>
        <w:rPr/>
        <w:t>nom du pays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</w:rPr>
      </w:pPr>
      <w:r>
        <w:rPr>
          <w:color w:val="C9211E"/>
        </w:rPr>
        <w:t>INDICATOR</w:t>
      </w:r>
    </w:p>
    <w:p>
      <w:pPr>
        <w:pStyle w:val="Normal"/>
        <w:bidi w:val="0"/>
        <w:jc w:val="left"/>
        <w:rPr/>
      </w:pPr>
      <w:r>
        <w:rPr/>
        <w:t xml:space="preserve">indicateur de mesure parmi 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  <w:t xml:space="preserve">- </w:t>
      </w:r>
      <w:r>
        <w:rPr>
          <w:i/>
          <w:iCs/>
        </w:rPr>
        <w:t>Gross domestic product (GDP), Current prices, Domestic currency</w:t>
      </w:r>
    </w:p>
    <w:p>
      <w:pPr>
        <w:pStyle w:val="BodyText"/>
        <w:bidi w:val="0"/>
        <w:jc w:val="left"/>
        <w:rPr/>
      </w:pPr>
      <w:r>
        <w:rPr>
          <w:b w:val="false"/>
          <w:bCs w:val="false"/>
        </w:rPr>
        <w:t xml:space="preserve">Le produit intérieur brut reflète le </w:t>
      </w:r>
      <w:r>
        <w:rPr>
          <w:rStyle w:val="Strong"/>
          <w:b w:val="false"/>
          <w:bCs w:val="false"/>
        </w:rPr>
        <w:t>revenu total généré par la production de biens et de services</w:t>
      </w:r>
      <w:r>
        <w:rPr>
          <w:b w:val="false"/>
          <w:bCs w:val="false"/>
        </w:rPr>
        <w:t xml:space="preserve"> sur un territoire économique au cours d'une période comptable donnée. </w:t>
      </w:r>
    </w:p>
    <w:p>
      <w:pPr>
        <w:pStyle w:val="BodyText"/>
        <w:bidi w:val="0"/>
        <w:jc w:val="left"/>
        <w:rPr/>
      </w:pPr>
      <w:r>
        <w:rPr>
          <w:rStyle w:val="Strong"/>
          <w:b w:val="false"/>
          <w:bCs w:val="false"/>
        </w:rPr>
        <w:t>Valeurs exprimées sans ajustement des variations de prix</w:t>
      </w:r>
      <w:r>
        <w:rPr>
          <w:b w:val="false"/>
          <w:bCs w:val="false"/>
        </w:rPr>
        <w:t xml:space="preserve"> : Monnaie émise par le pays d'origine, utilisée en interne. Cette précision indique </w:t>
      </w:r>
      <w:r>
        <w:rPr>
          <w:rStyle w:val="Strong"/>
          <w:b w:val="false"/>
          <w:bCs w:val="false"/>
        </w:rPr>
        <w:t>l'unité de mesure</w:t>
      </w:r>
      <w:r>
        <w:rPr>
          <w:b w:val="false"/>
          <w:bCs w:val="false"/>
        </w:rPr>
        <w:t xml:space="preserve"> utilisée par le pays pour fournir ses données au FMI.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i/>
          <w:iCs/>
        </w:rPr>
        <w:t>- Debt instruments, Public sector, Percent of GDP</w:t>
      </w:r>
    </w:p>
    <w:p>
      <w:pPr>
        <w:pStyle w:val="BodyText"/>
        <w:bidi w:val="0"/>
        <w:jc w:val="left"/>
        <w:rPr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Les </w:t>
      </w:r>
      <w:r>
        <w:rPr>
          <w:rStyle w:val="Strong"/>
          <w:b w:val="false"/>
          <w:bCs w:val="false"/>
          <w:i w:val="false"/>
          <w:iCs w:val="false"/>
          <w:sz w:val="24"/>
          <w:szCs w:val="24"/>
        </w:rPr>
        <w:t>instruments de dette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sont des </w:t>
      </w:r>
      <w:r>
        <w:rPr>
          <w:rStyle w:val="Strong"/>
          <w:b w:val="false"/>
          <w:bCs w:val="false"/>
          <w:i w:val="false"/>
          <w:iCs w:val="false"/>
          <w:sz w:val="24"/>
          <w:szCs w:val="24"/>
        </w:rPr>
        <w:t>actifs financiers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qui obligent l'émetteur à rembourser le </w:t>
      </w:r>
      <w:r>
        <w:rPr>
          <w:rStyle w:val="Strong"/>
          <w:b w:val="false"/>
          <w:bCs w:val="false"/>
          <w:i w:val="false"/>
          <w:iCs w:val="false"/>
          <w:sz w:val="24"/>
          <w:szCs w:val="24"/>
        </w:rPr>
        <w:t>capital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(montant emprunté) et/ou à verser des </w:t>
      </w:r>
      <w:r>
        <w:rPr>
          <w:rStyle w:val="Strong"/>
          <w:b w:val="false"/>
          <w:bCs w:val="false"/>
          <w:i w:val="false"/>
          <w:iCs w:val="false"/>
          <w:sz w:val="24"/>
          <w:szCs w:val="24"/>
        </w:rPr>
        <w:t>intérêts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à une ou plusieurs dates futures. Ils incluent notamment 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b w:val="false"/>
          <w:bCs w:val="false"/>
          <w:sz w:val="24"/>
          <w:szCs w:val="24"/>
        </w:rPr>
        <w:t>Droits de tirage spéciaux (DTS)</w:t>
      </w:r>
      <w:r>
        <w:rPr>
          <w:b w:val="false"/>
          <w:bCs w:val="false"/>
          <w:sz w:val="24"/>
          <w:szCs w:val="24"/>
        </w:rPr>
        <w:t xml:space="preserve">,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  <w:b w:val="false"/>
          <w:bCs w:val="false"/>
          <w:sz w:val="24"/>
          <w:szCs w:val="24"/>
        </w:rPr>
        <w:t>Monnaie et dépôts</w:t>
      </w:r>
      <w:r>
        <w:rPr>
          <w:b w:val="false"/>
          <w:bCs w:val="false"/>
          <w:sz w:val="24"/>
          <w:szCs w:val="24"/>
        </w:rPr>
        <w:t xml:space="preserve">,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  <w:b w:val="false"/>
          <w:bCs w:val="false"/>
          <w:sz w:val="24"/>
          <w:szCs w:val="24"/>
        </w:rPr>
        <w:t>Titres de dette</w:t>
      </w:r>
      <w:r>
        <w:rPr>
          <w:b w:val="false"/>
          <w:bCs w:val="false"/>
          <w:sz w:val="24"/>
          <w:szCs w:val="24"/>
        </w:rPr>
        <w:t xml:space="preserve"> (obligations, bons du Trésor, etc.),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  <w:b w:val="false"/>
          <w:bCs w:val="false"/>
          <w:sz w:val="24"/>
          <w:szCs w:val="24"/>
        </w:rPr>
        <w:t>Prêts</w:t>
      </w:r>
      <w:r>
        <w:rPr>
          <w:b w:val="false"/>
          <w:bCs w:val="false"/>
          <w:sz w:val="24"/>
          <w:szCs w:val="24"/>
        </w:rPr>
        <w:t xml:space="preserve">,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b w:val="false"/>
          <w:bCs w:val="false"/>
          <w:sz w:val="24"/>
          <w:szCs w:val="24"/>
        </w:rPr>
        <w:t>Réserves techniques d’assurance</w:t>
      </w:r>
      <w:r>
        <w:rPr>
          <w:b w:val="false"/>
          <w:bCs w:val="false"/>
          <w:sz w:val="24"/>
          <w:szCs w:val="24"/>
        </w:rPr>
        <w:t xml:space="preserve">,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  <w:b w:val="false"/>
          <w:bCs w:val="false"/>
          <w:sz w:val="24"/>
          <w:szCs w:val="24"/>
        </w:rPr>
        <w:t>Droits à pension et assimilés</w:t>
      </w:r>
      <w:r>
        <w:rPr>
          <w:b w:val="false"/>
          <w:bCs w:val="false"/>
          <w:sz w:val="24"/>
          <w:szCs w:val="24"/>
        </w:rPr>
        <w:t xml:space="preserve">,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  <w:b w:val="false"/>
          <w:bCs w:val="false"/>
          <w:sz w:val="24"/>
          <w:szCs w:val="24"/>
        </w:rPr>
        <w:t>Provisions pour appels de garanties standardisées</w:t>
      </w:r>
      <w:r>
        <w:rPr>
          <w:b w:val="false"/>
          <w:bCs w:val="false"/>
          <w:sz w:val="24"/>
          <w:szCs w:val="24"/>
        </w:rPr>
        <w:t xml:space="preserve">,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b w:val="false"/>
          <w:bCs w:val="false"/>
          <w:sz w:val="24"/>
          <w:szCs w:val="24"/>
        </w:rPr>
        <w:t>Autres créances/dettes</w:t>
      </w:r>
      <w:r>
        <w:rPr>
          <w:b w:val="false"/>
          <w:bCs w:val="false"/>
          <w:sz w:val="24"/>
          <w:szCs w:val="24"/>
        </w:rPr>
        <w:t xml:space="preserve"> (comptes à recevoir/payer). </w:t>
      </w:r>
    </w:p>
    <w:p>
      <w:pPr>
        <w:pStyle w:val="Heading3"/>
        <w:bidi w:val="0"/>
        <w:jc w:val="left"/>
        <w:rPr/>
      </w:pPr>
      <w:r>
        <w:rPr>
          <w:rStyle w:val="Strong"/>
          <w:b w:val="false"/>
          <w:bCs w:val="false"/>
          <w:sz w:val="24"/>
          <w:szCs w:val="24"/>
        </w:rPr>
        <w:t>Secteur public (ou "gouvernement au sens large")</w:t>
      </w:r>
    </w:p>
    <w:p>
      <w:pPr>
        <w:pStyle w:val="BodyText"/>
        <w:bidi w:val="0"/>
        <w:jc w:val="left"/>
        <w:rPr/>
      </w:pPr>
      <w:r>
        <w:rPr>
          <w:b w:val="false"/>
          <w:bCs w:val="false"/>
          <w:sz w:val="24"/>
          <w:szCs w:val="24"/>
        </w:rPr>
        <w:t xml:space="preserve">Ce terme désigne </w:t>
      </w:r>
      <w:r>
        <w:rPr>
          <w:rStyle w:val="Strong"/>
          <w:b w:val="false"/>
          <w:bCs w:val="false"/>
          <w:sz w:val="24"/>
          <w:szCs w:val="24"/>
        </w:rPr>
        <w:t>toutes les entités contrôlées ou détenues par l’État</w:t>
      </w:r>
      <w:r>
        <w:rPr>
          <w:b w:val="false"/>
          <w:bCs w:val="false"/>
          <w:sz w:val="24"/>
          <w:szCs w:val="24"/>
        </w:rPr>
        <w:t>, y compris 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 w:val="false"/>
          <w:bCs w:val="false"/>
          <w:sz w:val="24"/>
          <w:szCs w:val="24"/>
        </w:rPr>
        <w:t xml:space="preserve">Les </w:t>
      </w:r>
      <w:r>
        <w:rPr>
          <w:rStyle w:val="Strong"/>
          <w:b w:val="false"/>
          <w:bCs w:val="false"/>
          <w:sz w:val="24"/>
          <w:szCs w:val="24"/>
        </w:rPr>
        <w:t>administrations publiques</w:t>
      </w:r>
      <w:r>
        <w:rPr>
          <w:b w:val="false"/>
          <w:bCs w:val="false"/>
          <w:sz w:val="24"/>
          <w:szCs w:val="24"/>
        </w:rPr>
        <w:t xml:space="preserve"> (centrales, locales),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 w:val="false"/>
          <w:bCs w:val="false"/>
          <w:sz w:val="24"/>
          <w:szCs w:val="24"/>
        </w:rPr>
        <w:t xml:space="preserve">Les </w:t>
      </w:r>
      <w:r>
        <w:rPr>
          <w:rStyle w:val="Strong"/>
          <w:b w:val="false"/>
          <w:bCs w:val="false"/>
          <w:sz w:val="24"/>
          <w:szCs w:val="24"/>
        </w:rPr>
        <w:t>entreprises publiques</w:t>
      </w:r>
      <w:r>
        <w:rPr>
          <w:b w:val="false"/>
          <w:bCs w:val="false"/>
          <w:sz w:val="24"/>
          <w:szCs w:val="24"/>
        </w:rPr>
        <w:t xml:space="preserve"> (financières et non financières). </w:t>
      </w:r>
    </w:p>
    <w:p>
      <w:pPr>
        <w:pStyle w:val="Heading3"/>
        <w:bidi w:val="0"/>
        <w:jc w:val="left"/>
        <w:rPr/>
      </w:pPr>
      <w:r>
        <w:rPr>
          <w:rStyle w:val="Strong"/>
          <w:b w:val="false"/>
          <w:bCs w:val="false"/>
          <w:sz w:val="24"/>
          <w:szCs w:val="24"/>
        </w:rPr>
        <w:t>Valeur exprimée en pourcentage du PIB</w:t>
      </w:r>
    </w:p>
    <w:p>
      <w:pPr>
        <w:pStyle w:val="BodyText"/>
        <w:bidi w:val="0"/>
        <w:jc w:val="left"/>
        <w:rPr/>
      </w:pPr>
      <w:r>
        <w:rPr>
          <w:b w:val="false"/>
          <w:bCs w:val="false"/>
          <w:sz w:val="24"/>
          <w:szCs w:val="24"/>
        </w:rPr>
        <w:t xml:space="preserve">La valeur de ces instruments de dette est calculée </w:t>
      </w:r>
      <w:r>
        <w:rPr>
          <w:rStyle w:val="Strong"/>
          <w:b w:val="false"/>
          <w:bCs w:val="false"/>
          <w:sz w:val="24"/>
          <w:szCs w:val="24"/>
        </w:rPr>
        <w:t>en pourcentage du Produit Intérieur Brut (PIB)</w:t>
      </w:r>
      <w:r>
        <w:rPr>
          <w:b w:val="false"/>
          <w:bCs w:val="false"/>
          <w:sz w:val="24"/>
          <w:szCs w:val="24"/>
        </w:rPr>
        <w:t xml:space="preserve"> du pays. Cela permet de 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  <w:b w:val="false"/>
          <w:bCs w:val="false"/>
          <w:sz w:val="24"/>
          <w:szCs w:val="24"/>
        </w:rPr>
        <w:t>Comparer</w:t>
      </w:r>
      <w:r>
        <w:rPr>
          <w:b w:val="false"/>
          <w:bCs w:val="false"/>
          <w:sz w:val="24"/>
          <w:szCs w:val="24"/>
        </w:rPr>
        <w:t xml:space="preserve"> la dette entre pays de tailles différentes,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b w:val="false"/>
          <w:bCs w:val="false"/>
          <w:sz w:val="24"/>
          <w:szCs w:val="24"/>
        </w:rPr>
        <w:t>Évaluer</w:t>
      </w:r>
      <w:r>
        <w:rPr>
          <w:b w:val="false"/>
          <w:bCs w:val="false"/>
          <w:sz w:val="24"/>
          <w:szCs w:val="24"/>
        </w:rPr>
        <w:t xml:space="preserve"> son poids relatif dans l’économie.</w:t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left"/>
        <w:rPr/>
      </w:pPr>
      <w:r>
        <w:rPr>
          <w:i w:val="false"/>
          <w:iCs w:val="false"/>
        </w:rPr>
        <w:t xml:space="preserve">- </w:t>
      </w:r>
      <w:r>
        <w:br w:type="page"/>
      </w:r>
    </w:p>
    <w:p>
      <w:pPr>
        <w:pStyle w:val="Normal"/>
        <w:bidi w:val="0"/>
        <w:jc w:val="left"/>
        <w:rPr/>
      </w:pPr>
      <w:r>
        <w:rPr>
          <w:i/>
          <w:iCs/>
        </w:rPr>
        <w:t>Debt instruments, Private sector, Percent of GDP</w:t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b w:val="false"/>
          <w:bCs w:val="false"/>
        </w:rPr>
      </w:r>
    </w:p>
    <w:p>
      <w:pPr>
        <w:pStyle w:val="BodyText"/>
        <w:bidi w:val="0"/>
        <w:jc w:val="left"/>
        <w:rPr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Les </w:t>
      </w:r>
      <w:r>
        <w:rPr>
          <w:rStyle w:val="Strong"/>
          <w:b w:val="false"/>
          <w:bCs w:val="false"/>
          <w:i w:val="false"/>
          <w:iCs w:val="false"/>
          <w:sz w:val="24"/>
          <w:szCs w:val="24"/>
        </w:rPr>
        <w:t>instruments de dette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sont des </w:t>
      </w:r>
      <w:r>
        <w:rPr>
          <w:rStyle w:val="Strong"/>
          <w:b w:val="false"/>
          <w:bCs w:val="false"/>
          <w:i w:val="false"/>
          <w:iCs w:val="false"/>
          <w:sz w:val="24"/>
          <w:szCs w:val="24"/>
        </w:rPr>
        <w:t>produits financiers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qui obligent l’émetteur à rembourser le </w:t>
      </w:r>
      <w:r>
        <w:rPr>
          <w:rStyle w:val="Strong"/>
          <w:b w:val="false"/>
          <w:bCs w:val="false"/>
          <w:i w:val="false"/>
          <w:iCs w:val="false"/>
          <w:sz w:val="24"/>
          <w:szCs w:val="24"/>
        </w:rPr>
        <w:t>capital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(montant initial emprunté) et/ou à payer des </w:t>
      </w:r>
      <w:r>
        <w:rPr>
          <w:rStyle w:val="Strong"/>
          <w:b w:val="false"/>
          <w:bCs w:val="false"/>
          <w:i w:val="false"/>
          <w:iCs w:val="false"/>
          <w:sz w:val="24"/>
          <w:szCs w:val="24"/>
        </w:rPr>
        <w:t>intérêts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à une ou plusieurs échéances futures. Ils comprennent notamment 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b w:val="false"/>
          <w:bCs w:val="false"/>
          <w:sz w:val="24"/>
          <w:szCs w:val="24"/>
        </w:rPr>
        <w:t>Droits de tirage spéciaux (DTS)</w:t>
      </w:r>
      <w:r>
        <w:rPr>
          <w:b w:val="false"/>
          <w:bCs w:val="false"/>
          <w:sz w:val="24"/>
          <w:szCs w:val="24"/>
        </w:rPr>
        <w:t xml:space="preserve">,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  <w:b w:val="false"/>
          <w:bCs w:val="false"/>
          <w:sz w:val="24"/>
          <w:szCs w:val="24"/>
        </w:rPr>
        <w:t>Monnaie et dépôts</w:t>
      </w:r>
      <w:r>
        <w:rPr>
          <w:b w:val="false"/>
          <w:bCs w:val="false"/>
          <w:sz w:val="24"/>
          <w:szCs w:val="24"/>
        </w:rPr>
        <w:t xml:space="preserve"> (comptes bancaires, liquidités),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  <w:b w:val="false"/>
          <w:bCs w:val="false"/>
          <w:sz w:val="24"/>
          <w:szCs w:val="24"/>
        </w:rPr>
        <w:t>Titres de dette</w:t>
      </w:r>
      <w:r>
        <w:rPr>
          <w:b w:val="false"/>
          <w:bCs w:val="false"/>
          <w:sz w:val="24"/>
          <w:szCs w:val="24"/>
        </w:rPr>
        <w:t xml:space="preserve"> (obligations, bons du Trésor, etc.),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  <w:b w:val="false"/>
          <w:bCs w:val="false"/>
          <w:sz w:val="24"/>
          <w:szCs w:val="24"/>
        </w:rPr>
        <w:t>Prêts</w:t>
      </w:r>
      <w:r>
        <w:rPr>
          <w:b w:val="false"/>
          <w:bCs w:val="false"/>
          <w:sz w:val="24"/>
          <w:szCs w:val="24"/>
        </w:rPr>
        <w:t xml:space="preserve"> (crédits bancaires, emprunts),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b w:val="false"/>
          <w:bCs w:val="false"/>
          <w:sz w:val="24"/>
          <w:szCs w:val="24"/>
        </w:rPr>
        <w:t>Réserves techniques d’assurance</w:t>
      </w:r>
      <w:r>
        <w:rPr>
          <w:b w:val="false"/>
          <w:bCs w:val="false"/>
          <w:sz w:val="24"/>
          <w:szCs w:val="24"/>
        </w:rPr>
        <w:t xml:space="preserve"> (fonds mis de côté par les assureurs pour couvrir les risques),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  <w:b w:val="false"/>
          <w:bCs w:val="false"/>
          <w:sz w:val="24"/>
          <w:szCs w:val="24"/>
        </w:rPr>
        <w:t>Droits à pension et assimilés</w:t>
      </w:r>
      <w:r>
        <w:rPr>
          <w:b w:val="false"/>
          <w:bCs w:val="false"/>
          <w:sz w:val="24"/>
          <w:szCs w:val="24"/>
        </w:rPr>
        <w:t xml:space="preserve"> (engagements liés aux retraites),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b w:val="false"/>
          <w:bCs w:val="false"/>
          <w:sz w:val="24"/>
          <w:szCs w:val="24"/>
        </w:rPr>
        <w:t>Provisions pour appels de garanties standardisées</w:t>
      </w:r>
      <w:r>
        <w:rPr>
          <w:b w:val="false"/>
          <w:bCs w:val="false"/>
          <w:sz w:val="24"/>
          <w:szCs w:val="24"/>
        </w:rPr>
        <w:t xml:space="preserve"> (fonds prévus pour honorer des garanties),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b w:val="false"/>
          <w:bCs w:val="false"/>
          <w:sz w:val="24"/>
          <w:szCs w:val="24"/>
        </w:rPr>
        <w:t>Autres créances/dettes</w:t>
      </w:r>
      <w:r>
        <w:rPr>
          <w:b w:val="false"/>
          <w:bCs w:val="false"/>
          <w:sz w:val="24"/>
          <w:szCs w:val="24"/>
        </w:rPr>
        <w:t xml:space="preserve"> (comptes à recevoir ou à payer). </w:t>
      </w:r>
    </w:p>
    <w:p>
      <w:pPr>
        <w:pStyle w:val="Heading3"/>
        <w:bidi w:val="0"/>
        <w:jc w:val="left"/>
        <w:rPr/>
      </w:pPr>
      <w:r>
        <w:rPr>
          <w:rStyle w:val="Strong"/>
          <w:b w:val="false"/>
          <w:bCs w:val="false"/>
          <w:sz w:val="24"/>
          <w:szCs w:val="24"/>
        </w:rPr>
        <w:t>Secteur privé</w:t>
      </w:r>
    </w:p>
    <w:p>
      <w:pPr>
        <w:pStyle w:val="BodyText"/>
        <w:bidi w:val="0"/>
        <w:jc w:val="left"/>
        <w:rPr/>
      </w:pPr>
      <w:r>
        <w:rPr>
          <w:b w:val="false"/>
          <w:bCs w:val="false"/>
          <w:sz w:val="24"/>
          <w:szCs w:val="24"/>
        </w:rPr>
        <w:t xml:space="preserve">Cette catégorie regroupe </w:t>
      </w:r>
      <w:r>
        <w:rPr>
          <w:rStyle w:val="Strong"/>
          <w:b w:val="false"/>
          <w:bCs w:val="false"/>
          <w:sz w:val="24"/>
          <w:szCs w:val="24"/>
        </w:rPr>
        <w:t>toutes les entités privées</w:t>
      </w:r>
      <w:r>
        <w:rPr>
          <w:b w:val="false"/>
          <w:bCs w:val="false"/>
          <w:sz w:val="24"/>
          <w:szCs w:val="24"/>
        </w:rPr>
        <w:t>, notamment 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 w:val="false"/>
          <w:bCs w:val="false"/>
          <w:sz w:val="24"/>
          <w:szCs w:val="24"/>
        </w:rPr>
        <w:t xml:space="preserve">Les </w:t>
      </w:r>
      <w:r>
        <w:rPr>
          <w:rStyle w:val="Strong"/>
          <w:b w:val="false"/>
          <w:bCs w:val="false"/>
          <w:sz w:val="24"/>
          <w:szCs w:val="24"/>
        </w:rPr>
        <w:t>entreprises privées</w:t>
      </w:r>
      <w:r>
        <w:rPr>
          <w:b w:val="false"/>
          <w:bCs w:val="false"/>
          <w:sz w:val="24"/>
          <w:szCs w:val="24"/>
        </w:rPr>
        <w:t xml:space="preserve"> (sociétés non détenues par l’État, qu’elles soient financières ou non),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 w:val="false"/>
          <w:bCs w:val="false"/>
          <w:sz w:val="24"/>
          <w:szCs w:val="24"/>
        </w:rPr>
        <w:t xml:space="preserve">Les </w:t>
      </w:r>
      <w:r>
        <w:rPr>
          <w:rStyle w:val="Strong"/>
          <w:b w:val="false"/>
          <w:bCs w:val="false"/>
          <w:sz w:val="24"/>
          <w:szCs w:val="24"/>
        </w:rPr>
        <w:t>particuliers</w:t>
      </w:r>
      <w:r>
        <w:rPr>
          <w:b w:val="false"/>
          <w:bCs w:val="false"/>
          <w:sz w:val="24"/>
          <w:szCs w:val="24"/>
        </w:rPr>
        <w:t xml:space="preserve"> (ménages, individus). </w:t>
      </w:r>
    </w:p>
    <w:p>
      <w:pPr>
        <w:pStyle w:val="Heading3"/>
        <w:bidi w:val="0"/>
        <w:jc w:val="left"/>
        <w:rPr/>
      </w:pPr>
      <w:r>
        <w:rPr>
          <w:rStyle w:val="Strong"/>
          <w:b w:val="false"/>
          <w:bCs w:val="false"/>
          <w:sz w:val="24"/>
          <w:szCs w:val="24"/>
        </w:rPr>
        <w:t>Valeur exprimée en pourcentage du PIB</w:t>
      </w:r>
    </w:p>
    <w:p>
      <w:pPr>
        <w:pStyle w:val="BodyText"/>
        <w:bidi w:val="0"/>
        <w:jc w:val="left"/>
        <w:rPr/>
      </w:pPr>
      <w:r>
        <w:rPr>
          <w:b w:val="false"/>
          <w:bCs w:val="false"/>
          <w:sz w:val="24"/>
          <w:szCs w:val="24"/>
        </w:rPr>
        <w:t xml:space="preserve">La valeur de ces instruments de dette est exprimée </w:t>
      </w:r>
      <w:r>
        <w:rPr>
          <w:rStyle w:val="Strong"/>
          <w:b w:val="false"/>
          <w:bCs w:val="false"/>
          <w:sz w:val="24"/>
          <w:szCs w:val="24"/>
        </w:rPr>
        <w:t>en pourcentage du Produit Intérieur Brut (PIB)</w:t>
      </w:r>
      <w:r>
        <w:rPr>
          <w:b w:val="false"/>
          <w:bCs w:val="false"/>
          <w:sz w:val="24"/>
          <w:szCs w:val="24"/>
        </w:rPr>
        <w:t xml:space="preserve"> du pays. Cela permet de 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b w:val="false"/>
          <w:bCs w:val="false"/>
          <w:sz w:val="24"/>
          <w:szCs w:val="24"/>
        </w:rPr>
        <w:t>Mesurer l’importance relative</w:t>
      </w:r>
      <w:r>
        <w:rPr>
          <w:b w:val="false"/>
          <w:bCs w:val="false"/>
          <w:sz w:val="24"/>
          <w:szCs w:val="24"/>
        </w:rPr>
        <w:t xml:space="preserve"> de la dette privée par rapport à la taille de l’économie, 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</w:rPr>
      </w:pPr>
      <w:r>
        <w:rPr>
          <w:color w:val="C9211E"/>
        </w:rPr>
        <w:t>TIME_PERIOD</w:t>
      </w:r>
    </w:p>
    <w:p>
      <w:pPr>
        <w:pStyle w:val="Normal"/>
        <w:bidi w:val="0"/>
        <w:jc w:val="left"/>
        <w:rPr/>
      </w:pPr>
      <w:r>
        <w:rPr/>
        <w:t>année de l’observation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</w:rPr>
      </w:pPr>
      <w:r>
        <w:rPr>
          <w:color w:val="C9211E"/>
        </w:rPr>
        <w:t>OBS_VALUE</w:t>
      </w:r>
    </w:p>
    <w:p>
      <w:pPr>
        <w:pStyle w:val="Normal"/>
        <w:bidi w:val="0"/>
        <w:jc w:val="left"/>
        <w:rPr/>
      </w:pPr>
      <w:r>
        <w:rPr/>
        <w:t>valeur mesurée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</w:rPr>
      </w:pPr>
      <w:r>
        <w:rPr>
          <w:color w:val="C9211E"/>
        </w:rPr>
        <w:t>SCALE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Billions : en milliard de $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Unit : en %</w:t>
      </w:r>
    </w:p>
    <w:p>
      <w:pPr>
        <w:pStyle w:val="Normal"/>
        <w:bidi w:val="0"/>
        <w:jc w:val="left"/>
        <w:rPr>
          <w:color w:val="C9211E"/>
        </w:rPr>
      </w:pPr>
      <w:r>
        <w:rPr>
          <w:color w:val="C9211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Heading3">
    <w:name w:val="Heading 3"/>
    <w:basedOn w:val="Titre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gnehorizontale">
    <w:name w:val="Ligne hori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79</TotalTime>
  <Application>LibreOffice/24.2.7.2$Linux_X86_64 LibreOffice_project/420$Build-2</Application>
  <AppVersion>15.0000</AppVersion>
  <Pages>2</Pages>
  <Words>455</Words>
  <Characters>2519</Characters>
  <CharactersWithSpaces>2924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2025-12-10T19:41:03Z</dcterms:created>
  <dc:creator/>
  <dc:description/>
  <dc:language>fr-FR</dc:language>
  <cp:lastModifiedBy/>
  <dcterms:modified xsi:type="dcterms:W3CDTF">2025-12-10T21:32:52Z</dcterms:modified>
  <cp:revision>1</cp:revision>
  <dc:subject/>
  <dc:title/>
</cp:coreProperties>
</file>