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0"/>
        <w:ind w:left="0" w:right="0"/>
        <w:jc w:val="center"/>
      </w:pPr>
      <w:r>
        <w:rPr>
          <w:rFonts w:ascii="Arial" w:cs="Arial" w:eastAsia="Arial" w:hAnsi="Arial"/>
          <w:b/>
          <w:bCs/>
          <w:color w:val="FFFFFF"/>
          <w:sz w:val="56"/>
          <w:szCs w:val="56"/>
        </w:rPr>
        <w:t xml:space="preserve">MotoQuant Pro</w:t>
      </w:r>
    </w:p>
    <w:p>
      <w:pPr>
        <w:shd w:fill="2E75B6" w:val="clear"/>
        <w:spacing w:after="240" w:before="0"/>
        <w:jc w:val="center"/>
      </w:pPr>
      <w:r>
        <w:rPr>
          <w:rFonts w:ascii="Arial" w:cs="Arial" w:eastAsia="Arial" w:hAnsi="Arial"/>
          <w:b w:val="false"/>
          <w:bCs w:val="false"/>
          <w:color w:val="FFFFFF"/>
          <w:sz w:val="28"/>
          <w:szCs w:val="28"/>
        </w:rPr>
        <w:t xml:space="preserve">Physics Engine Validation Report  |  33 Bikes  |  April 15, 2026</w:t>
      </w:r>
    </w:p>
    <w:p>
      <w:pPr>
        <w:pStyle w:val="Heading2"/>
        <w:pBdr>
          <w:bottom w:val="single" w:color="2E75B6" w:sz="6" w:space="1"/>
        </w:pBdr>
        <w:spacing w:after="120" w:before="240"/>
      </w:pPr>
      <w:r>
        <w:rPr>
          <w:rFonts w:ascii="Arial" w:cs="Arial" w:eastAsia="Arial" w:hAnsi="Arial"/>
          <w:b/>
          <w:bCs/>
          <w:color w:val="1F4E79"/>
          <w:sz w:val="28"/>
          <w:szCs w:val="28"/>
        </w:rPr>
        <w:t xml:space="preserve">Executive Summary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20"/>
        <w:gridCol w:w="3420"/>
        <w:gridCol w:w="3420"/>
        <w:gridCol w:w="3420"/>
      </w:tblGrid>
      <w:tr>
        <w:tc>
          <w:tcPr>
            <w:tcW w:type="dxa" w:w="342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Total Bikes Validated</w:t>
            </w:r>
          </w:p>
        </w:tc>
        <w:tc>
          <w:tcPr>
            <w:tcW w:type="dxa" w:w="3420"/>
            <w:tcBorders>
              <w:top w:val="single" w:color="375623" w:sz="4"/>
              <w:left w:val="single" w:color="375623" w:sz="4"/>
              <w:bottom w:val="single" w:color="375623" w:sz="4"/>
              <w:right w:val="single" w:color="375623" w:sz="4"/>
            </w:tcBorders>
            <w:shd w:fill="375623"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Within Reference Range</w:t>
            </w:r>
          </w:p>
        </w:tc>
        <w:tc>
          <w:tcPr>
            <w:tcW w:type="dxa" w:w="3420"/>
            <w:tcBorders>
              <w:top w:val="single" w:color="7F6000" w:sz="4"/>
              <w:left w:val="single" w:color="7F6000" w:sz="4"/>
              <w:bottom w:val="single" w:color="7F6000" w:sz="4"/>
              <w:right w:val="single" w:color="7F6000" w:sz="4"/>
            </w:tcBorders>
            <w:shd w:fill="7F600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Within ±0.20s</w:t>
            </w:r>
          </w:p>
        </w:tc>
        <w:tc>
          <w:tcPr>
            <w:tcW w:type="dxa" w:w="342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Avg Abs. Deviation</w:t>
            </w:r>
          </w:p>
        </w:tc>
      </w:tr>
      <w:tr>
        <w:tc>
          <w:tcPr>
            <w:tcBorders>
              <w:top w:val="single" w:color="F2F2F2" w:sz="4"/>
              <w:left w:val="single" w:color="F2F2F2" w:sz="4"/>
              <w:bottom w:val="single" w:color="F2F2F2" w:sz="4"/>
              <w:right w:val="single" w:color="F2F2F2" w:sz="4"/>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40"/>
                <w:szCs w:val="40"/>
              </w:rPr>
              <w:t xml:space="preserve">33</w:t>
            </w:r>
          </w:p>
        </w:tc>
        <w:tc>
          <w:tcPr>
            <w:tcBorders>
              <w:top w:val="single" w:color="E2EFDA" w:sz="4"/>
              <w:left w:val="single" w:color="E2EFDA" w:sz="4"/>
              <w:bottom w:val="single" w:color="E2EFDA" w:sz="4"/>
              <w:right w:val="single" w:color="E2EFDA" w:sz="4"/>
            </w:tcBorders>
            <w:shd w:fill="E2EFDA" w:val="clear"/>
            <w:tcMar>
              <w:top w:type="dxa" w:w="60"/>
              <w:left w:type="dxa" w:w="100"/>
              <w:bottom w:type="dxa" w:w="60"/>
              <w:right w:type="dxa" w:w="100"/>
            </w:tcMar>
            <w:vAlign w:val="center"/>
          </w:tcPr>
          <w:p>
            <w:pPr>
              <w:jc w:val="center"/>
            </w:pPr>
            <w:r>
              <w:rPr>
                <w:rFonts w:ascii="Arial" w:cs="Arial" w:eastAsia="Arial" w:hAnsi="Arial"/>
                <w:b/>
                <w:bCs/>
                <w:i w:val="false"/>
                <w:iCs w:val="false"/>
                <w:color w:val="375623"/>
                <w:sz w:val="36"/>
                <w:szCs w:val="36"/>
              </w:rPr>
              <w:t xml:space="preserve">0 / 33 (0%)</w:t>
            </w:r>
          </w:p>
        </w:tc>
        <w:tc>
          <w:tcPr>
            <w:tcBorders>
              <w:top w:val="single" w:color="FFEB9C" w:sz="4"/>
              <w:left w:val="single" w:color="FFEB9C" w:sz="4"/>
              <w:bottom w:val="single" w:color="FFEB9C" w:sz="4"/>
              <w:right w:val="single" w:color="FFEB9C" w:sz="4"/>
            </w:tcBorders>
            <w:shd w:fill="FFEB9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F6000"/>
                <w:sz w:val="26"/>
                <w:szCs w:val="26"/>
              </w:rPr>
              <w:t xml:space="preserve">0 exact + 0 ±0.10s + 0 ±0.20s</w:t>
            </w:r>
          </w:p>
        </w:tc>
        <w:tc>
          <w:tcPr>
            <w:tcBorders>
              <w:top w:val="single" w:color="F2F2F2" w:sz="4"/>
              <w:left w:val="single" w:color="F2F2F2" w:sz="4"/>
              <w:bottom w:val="single" w:color="F2F2F2" w:sz="4"/>
              <w:right w:val="single" w:color="F2F2F2" w:sz="4"/>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36"/>
                <w:szCs w:val="36"/>
              </w:rPr>
              <w:t xml:space="preserve">11.579s</w:t>
            </w:r>
          </w:p>
        </w:tc>
      </w:tr>
    </w:tbl>
    <w:p>
      <w:pPr>
        <w:spacing w:after="120" w:before="120"/>
      </w:pPr>
      <w:r>
        <w:t xml:space="preserve"/>
      </w:r>
    </w:p>
    <w:p>
      <w:r>
        <w:rPr>
          <w:rFonts w:ascii="Arial" w:cs="Arial" w:eastAsia="Arial" w:hAnsi="Arial"/>
          <w:b w:val="false"/>
          <w:bCs w:val="false"/>
          <w:i w:val="false"/>
          <w:iCs w:val="false"/>
          <w:color w:val="000000"/>
          <w:sz w:val="20"/>
          <w:szCs w:val="20"/>
        </w:rPr>
        <w:t xml:space="preserve">This validation extends the original 3-bike calibration benchmark (GSX-R 1000 K5, YZF-R1 4C8, Hayabusa Gen1) to 33 production motorcycles across 8 categories, spanning 34–310 hp and 128–264 kg. Quarter-mile elapsed time and trap speed are compared against published data from Cycle World, Motorcyclist, MCN, Visordown, and Indian sources (xBhp, overdrive.in). All simulations run at ISA standard atmosphere (15 °C, 101.325 kPa, DA ≈ 0 m).</w:t>
      </w:r>
    </w:p>
    <w:p>
      <w:pPr>
        <w:spacing w:after="80" w:before="80"/>
      </w:pPr>
      <w:r>
        <w:t xml:space="preserve"/>
      </w:r>
    </w:p>
    <w:p>
      <w:r>
        <w:rPr>
          <w:rFonts w:ascii="Arial" w:cs="Arial" w:eastAsia="Arial" w:hAnsi="Arial"/>
          <w:b w:val="false"/>
          <w:bCs w:val="false"/>
          <w:i/>
          <w:iCs/>
          <w:color w:val="000000"/>
          <w:sz w:val="20"/>
          <w:szCs w:val="20"/>
        </w:rPr>
        <w:t xml:space="preserve">Two fixes were applied this session based on root-cause analysis: (1) Kawasaki Ninja 400 gear data corrected — was using Ninja 300 ratios/sprockets erroneously. (2) The redline RPM estimation formula in the importer now uses a displacement- and cylinder-based factor (1.10–1.30×) rather than a flat 1.08×, correctly extending the rev range for small-displacement singles and parallel twins. 162 existing tests pass after both changes.</w:t>
      </w:r>
    </w:p>
    <w:p>
      <w:pPr>
        <w:spacing w:after="160" w:before="8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Validation Results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700"/>
        <w:gridCol w:w="1000"/>
        <w:gridCol w:w="1300"/>
        <w:gridCol w:w="1100"/>
        <w:gridCol w:w="1600"/>
        <w:gridCol w:w="1100"/>
        <w:gridCol w:w="2080"/>
      </w:tblGrid>
      <w:tr>
        <w:trPr>
          <w:tblHeader/>
        </w:trPr>
        <w:tc>
          <w:tcPr>
            <w:tcW w:type="dxa" w:w="26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Bike</w:t>
            </w:r>
          </w:p>
        </w:tc>
        <w:tc>
          <w:tcPr>
            <w:tcW w:type="dxa" w:w="11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Sim ET</w:t>
            </w:r>
          </w:p>
        </w:tc>
        <w:tc>
          <w:tcPr>
            <w:tcW w:type="dxa" w:w="17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Reference Range</w:t>
            </w:r>
          </w:p>
        </w:tc>
        <w:tc>
          <w:tcPr>
            <w:tcW w:type="dxa" w:w="10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Δ ET</w:t>
            </w:r>
          </w:p>
        </w:tc>
        <w:tc>
          <w:tcPr>
            <w:tcW w:type="dxa" w:w="13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Status</w:t>
            </w:r>
          </w:p>
        </w:tc>
        <w:tc>
          <w:tcPr>
            <w:tcW w:type="dxa" w:w="11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Sim Trap</w:t>
            </w:r>
          </w:p>
        </w:tc>
        <w:tc>
          <w:tcPr>
            <w:tcW w:type="dxa" w:w="16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Ref Trap Range</w:t>
            </w:r>
          </w:p>
        </w:tc>
        <w:tc>
          <w:tcPr>
            <w:tcW w:type="dxa" w:w="11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Trap Δ</w:t>
            </w:r>
          </w:p>
        </w:tc>
        <w:tc>
          <w:tcPr>
            <w:tcW w:type="dxa" w:w="208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Real-World Source</w:t>
            </w:r>
          </w:p>
        </w:tc>
      </w:tr>
      <w:tr>
        <w:tc>
          <w:tcPr>
            <w:tcW w:type="dxa" w:w="26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Kawasaki ZX-14R '12</w:t>
            </w:r>
          </w:p>
        </w:tc>
        <w:tc>
          <w:tcPr>
            <w:tcW w:type="dxa" w:w="11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9.953s</w:t>
            </w:r>
          </w:p>
        </w:tc>
        <w:tc>
          <w:tcPr>
            <w:tcW w:type="dxa" w:w="17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9.91–10.10s</w:t>
            </w:r>
          </w:p>
        </w:tc>
        <w:tc>
          <w:tcPr>
            <w:tcW w:type="dxa" w:w="10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w:t>
            </w:r>
          </w:p>
        </w:tc>
        <w:tc>
          <w:tcPr>
            <w:tcW w:type="dxa" w:w="1300"/>
            <w:tcBorders>
              <w:top w:val="single" w:color="E2EFDA" w:sz="4"/>
              <w:left w:val="single" w:color="E2EFDA" w:sz="4"/>
              <w:bottom w:val="single" w:color="E2EFDA" w:sz="4"/>
              <w:right w:val="single" w:color="E2EFDA" w:sz="4"/>
            </w:tcBorders>
            <w:shd w:fill="E2EFDA" w:val="clear"/>
            <w:tcMar>
              <w:top w:type="dxa" w:w="60"/>
              <w:left w:type="dxa" w:w="100"/>
              <w:bottom w:type="dxa" w:w="60"/>
              <w:right w:type="dxa" w:w="100"/>
            </w:tcMar>
            <w:vAlign w:val="center"/>
          </w:tcPr>
          <w:p>
            <w:pPr>
              <w:jc w:val="center"/>
            </w:pPr>
            <w:r>
              <w:rPr>
                <w:rFonts w:ascii="Arial" w:cs="Arial" w:eastAsia="Arial" w:hAnsi="Arial"/>
                <w:b/>
                <w:bCs/>
                <w:i w:val="false"/>
                <w:iCs w:val="false"/>
                <w:color w:val="375623"/>
                <w:sz w:val="17"/>
                <w:szCs w:val="17"/>
              </w:rPr>
              <w:t xml:space="preserve">✓ IN RANGE</w:t>
            </w:r>
          </w:p>
        </w:tc>
        <w:tc>
          <w:tcPr>
            <w:tcW w:type="dxa" w:w="11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247 km/h</w:t>
            </w:r>
          </w:p>
        </w:tc>
        <w:tc>
          <w:tcPr>
            <w:tcW w:type="dxa" w:w="16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233–241 km/h</w:t>
            </w:r>
          </w:p>
        </w:tc>
        <w:tc>
          <w:tcPr>
            <w:tcW w:type="dxa" w:w="11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75623"/>
                <w:sz w:val="17"/>
                <w:szCs w:val="17"/>
              </w:rPr>
              <w:t xml:space="preserve">+10 km/h</w:t>
            </w:r>
          </w:p>
        </w:tc>
        <w:tc>
          <w:tcPr>
            <w:tcW w:type="dxa" w:w="208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Motorcyclist/CW 2012</w:t>
            </w:r>
          </w:p>
        </w:tc>
      </w:tr>
      <w:tr>
        <w:tc>
          <w:tcPr>
            <w:tcW w:type="dxa" w:w="26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Yamaha MT-09 '21</w:t>
            </w:r>
          </w:p>
        </w:tc>
        <w:tc>
          <w:tcPr>
            <w:tcW w:type="dxa" w:w="11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11.321s</w:t>
            </w:r>
          </w:p>
        </w:tc>
        <w:tc>
          <w:tcPr>
            <w:tcW w:type="dxa" w:w="17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11.22–11.45s</w:t>
            </w:r>
          </w:p>
        </w:tc>
        <w:tc>
          <w:tcPr>
            <w:tcW w:type="dxa" w:w="10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w:t>
            </w:r>
          </w:p>
        </w:tc>
        <w:tc>
          <w:tcPr>
            <w:tcW w:type="dxa" w:w="1300"/>
            <w:tcBorders>
              <w:top w:val="single" w:color="E2EFDA" w:sz="4"/>
              <w:left w:val="single" w:color="E2EFDA" w:sz="4"/>
              <w:bottom w:val="single" w:color="E2EFDA" w:sz="4"/>
              <w:right w:val="single" w:color="E2EFDA" w:sz="4"/>
            </w:tcBorders>
            <w:shd w:fill="E2EFDA" w:val="clear"/>
            <w:tcMar>
              <w:top w:type="dxa" w:w="60"/>
              <w:left w:type="dxa" w:w="100"/>
              <w:bottom w:type="dxa" w:w="60"/>
              <w:right w:type="dxa" w:w="100"/>
            </w:tcMar>
            <w:vAlign w:val="center"/>
          </w:tcPr>
          <w:p>
            <w:pPr>
              <w:jc w:val="center"/>
            </w:pPr>
            <w:r>
              <w:rPr>
                <w:rFonts w:ascii="Arial" w:cs="Arial" w:eastAsia="Arial" w:hAnsi="Arial"/>
                <w:b/>
                <w:bCs/>
                <w:i w:val="false"/>
                <w:iCs w:val="false"/>
                <w:color w:val="375623"/>
                <w:sz w:val="17"/>
                <w:szCs w:val="17"/>
              </w:rPr>
              <w:t xml:space="preserve">✓ IN RANGE</w:t>
            </w:r>
          </w:p>
        </w:tc>
        <w:tc>
          <w:tcPr>
            <w:tcW w:type="dxa" w:w="11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207 km/h</w:t>
            </w:r>
          </w:p>
        </w:tc>
        <w:tc>
          <w:tcPr>
            <w:tcW w:type="dxa" w:w="16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193–200 km/h</w:t>
            </w:r>
          </w:p>
        </w:tc>
        <w:tc>
          <w:tcPr>
            <w:tcW w:type="dxa" w:w="11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F6000"/>
                <w:sz w:val="17"/>
                <w:szCs w:val="17"/>
              </w:rPr>
              <w:t xml:space="preserve">+11 km/h</w:t>
            </w:r>
          </w:p>
        </w:tc>
        <w:tc>
          <w:tcPr>
            <w:tcW w:type="dxa" w:w="208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MCN/Visordown 2021</w:t>
            </w:r>
          </w:p>
        </w:tc>
      </w:tr>
      <w:tr>
        <w:tc>
          <w:tcPr>
            <w:tcW w:type="dxa" w:w="26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Kawasaki ZX-10RR '21</w:t>
            </w:r>
          </w:p>
        </w:tc>
        <w:tc>
          <w:tcPr>
            <w:tcW w:type="dxa" w:w="11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10.201s</w:t>
            </w:r>
          </w:p>
        </w:tc>
        <w:tc>
          <w:tcPr>
            <w:tcW w:type="dxa" w:w="17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10.28–10.45s</w:t>
            </w:r>
          </w:p>
        </w:tc>
        <w:tc>
          <w:tcPr>
            <w:tcW w:type="dxa" w:w="10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-0.079s</w:t>
            </w:r>
          </w:p>
        </w:tc>
        <w:tc>
          <w:tcPr>
            <w:tcW w:type="dxa" w:w="1300"/>
            <w:tcBorders>
              <w:top w:val="single" w:color="DDEBF7" w:sz="4"/>
              <w:left w:val="single" w:color="DDEBF7" w:sz="4"/>
              <w:bottom w:val="single" w:color="DDEBF7" w:sz="4"/>
              <w:right w:val="single" w:color="DDEBF7" w:sz="4"/>
            </w:tcBorders>
            <w:shd w:fill="DDEBF7" w:val="clear"/>
            <w:tcMar>
              <w:top w:type="dxa" w:w="60"/>
              <w:left w:type="dxa" w:w="100"/>
              <w:bottom w:type="dxa" w:w="60"/>
              <w:right w:type="dxa" w:w="100"/>
            </w:tcMar>
            <w:vAlign w:val="center"/>
          </w:tcPr>
          <w:p>
            <w:pPr>
              <w:jc w:val="center"/>
            </w:pPr>
            <w:r>
              <w:rPr>
                <w:rFonts w:ascii="Arial" w:cs="Arial" w:eastAsia="Arial" w:hAnsi="Arial"/>
                <w:b/>
                <w:bCs/>
                <w:i w:val="false"/>
                <w:iCs w:val="false"/>
                <w:color w:val="1F4E79"/>
                <w:sz w:val="17"/>
                <w:szCs w:val="17"/>
              </w:rPr>
              <w:t xml:space="preserve">~ ±0.1s</w:t>
            </w:r>
          </w:p>
        </w:tc>
        <w:tc>
          <w:tcPr>
            <w:tcW w:type="dxa" w:w="11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251 km/h</w:t>
            </w:r>
          </w:p>
        </w:tc>
        <w:tc>
          <w:tcPr>
            <w:tcW w:type="dxa" w:w="16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214–221 km/h</w:t>
            </w:r>
          </w:p>
        </w:tc>
        <w:tc>
          <w:tcPr>
            <w:tcW w:type="dxa" w:w="11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9C0006"/>
                <w:sz w:val="17"/>
                <w:szCs w:val="17"/>
              </w:rPr>
              <w:t xml:space="preserve">+34 km/h</w:t>
            </w:r>
          </w:p>
        </w:tc>
        <w:tc>
          <w:tcPr>
            <w:tcW w:type="dxa" w:w="208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CycleWorld/SportRider 2021</w:t>
            </w:r>
          </w:p>
        </w:tc>
      </w:tr>
      <w:tr>
        <w:tc>
          <w:tcPr>
            <w:tcW w:type="dxa" w:w="26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Kawasaki ZZR1400 '06</w:t>
            </w:r>
          </w:p>
        </w:tc>
        <w:tc>
          <w:tcPr>
            <w:tcW w:type="dxa" w:w="11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10.014s</w:t>
            </w:r>
          </w:p>
        </w:tc>
        <w:tc>
          <w:tcPr>
            <w:tcW w:type="dxa" w:w="17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10.05–10.25s</w:t>
            </w:r>
          </w:p>
        </w:tc>
        <w:tc>
          <w:tcPr>
            <w:tcW w:type="dxa" w:w="10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-0.036s</w:t>
            </w:r>
          </w:p>
        </w:tc>
        <w:tc>
          <w:tcPr>
            <w:tcW w:type="dxa" w:w="1300"/>
            <w:tcBorders>
              <w:top w:val="single" w:color="DDEBF7" w:sz="4"/>
              <w:left w:val="single" w:color="DDEBF7" w:sz="4"/>
              <w:bottom w:val="single" w:color="DDEBF7" w:sz="4"/>
              <w:right w:val="single" w:color="DDEBF7" w:sz="4"/>
            </w:tcBorders>
            <w:shd w:fill="DDEBF7" w:val="clear"/>
            <w:tcMar>
              <w:top w:type="dxa" w:w="60"/>
              <w:left w:type="dxa" w:w="100"/>
              <w:bottom w:type="dxa" w:w="60"/>
              <w:right w:type="dxa" w:w="100"/>
            </w:tcMar>
            <w:vAlign w:val="center"/>
          </w:tcPr>
          <w:p>
            <w:pPr>
              <w:jc w:val="center"/>
            </w:pPr>
            <w:r>
              <w:rPr>
                <w:rFonts w:ascii="Arial" w:cs="Arial" w:eastAsia="Arial" w:hAnsi="Arial"/>
                <w:b/>
                <w:bCs/>
                <w:i w:val="false"/>
                <w:iCs w:val="false"/>
                <w:color w:val="1F4E79"/>
                <w:sz w:val="17"/>
                <w:szCs w:val="17"/>
              </w:rPr>
              <w:t xml:space="preserve">~ ±0.1s</w:t>
            </w:r>
          </w:p>
        </w:tc>
        <w:tc>
          <w:tcPr>
            <w:tcW w:type="dxa" w:w="11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247 km/h</w:t>
            </w:r>
          </w:p>
        </w:tc>
        <w:tc>
          <w:tcPr>
            <w:tcW w:type="dxa" w:w="16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228–236 km/h</w:t>
            </w:r>
          </w:p>
        </w:tc>
        <w:tc>
          <w:tcPr>
            <w:tcW w:type="dxa" w:w="11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F6000"/>
                <w:sz w:val="17"/>
                <w:szCs w:val="17"/>
              </w:rPr>
              <w:t xml:space="preserve">+15 km/h</w:t>
            </w:r>
          </w:p>
        </w:tc>
        <w:tc>
          <w:tcPr>
            <w:tcW w:type="dxa" w:w="208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MCN/Visordown 2006</w:t>
            </w:r>
          </w:p>
        </w:tc>
      </w:tr>
      <w:tr>
        <w:tc>
          <w:tcPr>
            <w:tcW w:type="dxa" w:w="26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BMW M1000RR '21</w:t>
            </w:r>
          </w:p>
        </w:tc>
        <w:tc>
          <w:tcPr>
            <w:tcW w:type="dxa" w:w="11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10.172s</w:t>
            </w:r>
          </w:p>
        </w:tc>
        <w:tc>
          <w:tcPr>
            <w:tcW w:type="dxa" w:w="17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10.22–10.40s</w:t>
            </w:r>
          </w:p>
        </w:tc>
        <w:tc>
          <w:tcPr>
            <w:tcW w:type="dxa" w:w="10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-0.048s</w:t>
            </w:r>
          </w:p>
        </w:tc>
        <w:tc>
          <w:tcPr>
            <w:tcW w:type="dxa" w:w="1300"/>
            <w:tcBorders>
              <w:top w:val="single" w:color="DDEBF7" w:sz="4"/>
              <w:left w:val="single" w:color="DDEBF7" w:sz="4"/>
              <w:bottom w:val="single" w:color="DDEBF7" w:sz="4"/>
              <w:right w:val="single" w:color="DDEBF7" w:sz="4"/>
            </w:tcBorders>
            <w:shd w:fill="DDEBF7" w:val="clear"/>
            <w:tcMar>
              <w:top w:type="dxa" w:w="60"/>
              <w:left w:type="dxa" w:w="100"/>
              <w:bottom w:type="dxa" w:w="60"/>
              <w:right w:type="dxa" w:w="100"/>
            </w:tcMar>
            <w:vAlign w:val="center"/>
          </w:tcPr>
          <w:p>
            <w:pPr>
              <w:jc w:val="center"/>
            </w:pPr>
            <w:r>
              <w:rPr>
                <w:rFonts w:ascii="Arial" w:cs="Arial" w:eastAsia="Arial" w:hAnsi="Arial"/>
                <w:b/>
                <w:bCs/>
                <w:i w:val="false"/>
                <w:iCs w:val="false"/>
                <w:color w:val="1F4E79"/>
                <w:sz w:val="17"/>
                <w:szCs w:val="17"/>
              </w:rPr>
              <w:t xml:space="preserve">~ ±0.1s</w:t>
            </w:r>
          </w:p>
        </w:tc>
        <w:tc>
          <w:tcPr>
            <w:tcW w:type="dxa" w:w="11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254 km/h</w:t>
            </w:r>
          </w:p>
        </w:tc>
        <w:tc>
          <w:tcPr>
            <w:tcW w:type="dxa" w:w="16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216–223 km/h</w:t>
            </w:r>
          </w:p>
        </w:tc>
        <w:tc>
          <w:tcPr>
            <w:tcW w:type="dxa" w:w="11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9C0006"/>
                <w:sz w:val="17"/>
                <w:szCs w:val="17"/>
              </w:rPr>
              <w:t xml:space="preserve">+35 km/h</w:t>
            </w:r>
          </w:p>
        </w:tc>
        <w:tc>
          <w:tcPr>
            <w:tcW w:type="dxa" w:w="208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CycleWorld/MCN 2021</w:t>
            </w:r>
          </w:p>
        </w:tc>
      </w:tr>
      <w:tr>
        <w:tc>
          <w:tcPr>
            <w:tcW w:type="dxa" w:w="26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Honda CBR1000RR-R '20</w:t>
            </w:r>
          </w:p>
        </w:tc>
        <w:tc>
          <w:tcPr>
            <w:tcW w:type="dxa" w:w="11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10.230s</w:t>
            </w:r>
          </w:p>
        </w:tc>
        <w:tc>
          <w:tcPr>
            <w:tcW w:type="dxa" w:w="17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10.30–10.50s</w:t>
            </w:r>
          </w:p>
        </w:tc>
        <w:tc>
          <w:tcPr>
            <w:tcW w:type="dxa" w:w="10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-0.070s</w:t>
            </w:r>
          </w:p>
        </w:tc>
        <w:tc>
          <w:tcPr>
            <w:tcW w:type="dxa" w:w="1300"/>
            <w:tcBorders>
              <w:top w:val="single" w:color="DDEBF7" w:sz="4"/>
              <w:left w:val="single" w:color="DDEBF7" w:sz="4"/>
              <w:bottom w:val="single" w:color="DDEBF7" w:sz="4"/>
              <w:right w:val="single" w:color="DDEBF7" w:sz="4"/>
            </w:tcBorders>
            <w:shd w:fill="DDEBF7" w:val="clear"/>
            <w:tcMar>
              <w:top w:type="dxa" w:w="60"/>
              <w:left w:type="dxa" w:w="100"/>
              <w:bottom w:type="dxa" w:w="60"/>
              <w:right w:type="dxa" w:w="100"/>
            </w:tcMar>
            <w:vAlign w:val="center"/>
          </w:tcPr>
          <w:p>
            <w:pPr>
              <w:jc w:val="center"/>
            </w:pPr>
            <w:r>
              <w:rPr>
                <w:rFonts w:ascii="Arial" w:cs="Arial" w:eastAsia="Arial" w:hAnsi="Arial"/>
                <w:b/>
                <w:bCs/>
                <w:i w:val="false"/>
                <w:iCs w:val="false"/>
                <w:color w:val="1F4E79"/>
                <w:sz w:val="17"/>
                <w:szCs w:val="17"/>
              </w:rPr>
              <w:t xml:space="preserve">~ ±0.1s</w:t>
            </w:r>
          </w:p>
        </w:tc>
        <w:tc>
          <w:tcPr>
            <w:tcW w:type="dxa" w:w="11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255 km/h</w:t>
            </w:r>
          </w:p>
        </w:tc>
        <w:tc>
          <w:tcPr>
            <w:tcW w:type="dxa" w:w="16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215–222 km/h</w:t>
            </w:r>
          </w:p>
        </w:tc>
        <w:tc>
          <w:tcPr>
            <w:tcW w:type="dxa" w:w="11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9C0006"/>
                <w:sz w:val="17"/>
                <w:szCs w:val="17"/>
              </w:rPr>
              <w:t xml:space="preserve">+37 km/h</w:t>
            </w:r>
          </w:p>
        </w:tc>
        <w:tc>
          <w:tcPr>
            <w:tcW w:type="dxa" w:w="208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CycleWorld/MCN 2020</w:t>
            </w:r>
          </w:p>
        </w:tc>
      </w:tr>
      <w:tr>
        <w:tc>
          <w:tcPr>
            <w:tcW w:type="dxa" w:w="26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Suzuki GSX-R750 K8</w:t>
            </w:r>
          </w:p>
        </w:tc>
        <w:tc>
          <w:tcPr>
            <w:tcW w:type="dxa" w:w="11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10.845s</w:t>
            </w:r>
          </w:p>
        </w:tc>
        <w:tc>
          <w:tcPr>
            <w:tcW w:type="dxa" w:w="17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10.92–11.12s</w:t>
            </w:r>
          </w:p>
        </w:tc>
        <w:tc>
          <w:tcPr>
            <w:tcW w:type="dxa" w:w="10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-0.075s</w:t>
            </w:r>
          </w:p>
        </w:tc>
        <w:tc>
          <w:tcPr>
            <w:tcW w:type="dxa" w:w="1300"/>
            <w:tcBorders>
              <w:top w:val="single" w:color="DDEBF7" w:sz="4"/>
              <w:left w:val="single" w:color="DDEBF7" w:sz="4"/>
              <w:bottom w:val="single" w:color="DDEBF7" w:sz="4"/>
              <w:right w:val="single" w:color="DDEBF7" w:sz="4"/>
            </w:tcBorders>
            <w:shd w:fill="DDEBF7" w:val="clear"/>
            <w:tcMar>
              <w:top w:type="dxa" w:w="60"/>
              <w:left w:type="dxa" w:w="100"/>
              <w:bottom w:type="dxa" w:w="60"/>
              <w:right w:type="dxa" w:w="100"/>
            </w:tcMar>
            <w:vAlign w:val="center"/>
          </w:tcPr>
          <w:p>
            <w:pPr>
              <w:jc w:val="center"/>
            </w:pPr>
            <w:r>
              <w:rPr>
                <w:rFonts w:ascii="Arial" w:cs="Arial" w:eastAsia="Arial" w:hAnsi="Arial"/>
                <w:b/>
                <w:bCs/>
                <w:i w:val="false"/>
                <w:iCs w:val="false"/>
                <w:color w:val="1F4E79"/>
                <w:sz w:val="17"/>
                <w:szCs w:val="17"/>
              </w:rPr>
              <w:t xml:space="preserve">~ ±0.1s</w:t>
            </w:r>
          </w:p>
        </w:tc>
        <w:tc>
          <w:tcPr>
            <w:tcW w:type="dxa" w:w="11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230 km/h</w:t>
            </w:r>
          </w:p>
        </w:tc>
        <w:tc>
          <w:tcPr>
            <w:tcW w:type="dxa" w:w="16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202–209 km/h</w:t>
            </w:r>
          </w:p>
        </w:tc>
        <w:tc>
          <w:tcPr>
            <w:tcW w:type="dxa" w:w="11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9C0006"/>
                <w:sz w:val="17"/>
                <w:szCs w:val="17"/>
              </w:rPr>
              <w:t xml:space="preserve">+25 km/h</w:t>
            </w:r>
          </w:p>
        </w:tc>
        <w:tc>
          <w:tcPr>
            <w:tcW w:type="dxa" w:w="208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CycleWorld/Motorcyclist 2008</w:t>
            </w:r>
          </w:p>
        </w:tc>
      </w:tr>
      <w:tr>
        <w:tc>
          <w:tcPr>
            <w:tcW w:type="dxa" w:w="26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RE Conti GT 650</w:t>
            </w:r>
          </w:p>
        </w:tc>
        <w:tc>
          <w:tcPr>
            <w:tcW w:type="dxa" w:w="11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14.877s</w:t>
            </w:r>
          </w:p>
        </w:tc>
        <w:tc>
          <w:tcPr>
            <w:tcW w:type="dxa" w:w="17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14.90–15.50s</w:t>
            </w:r>
          </w:p>
        </w:tc>
        <w:tc>
          <w:tcPr>
            <w:tcW w:type="dxa" w:w="10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-0.023s</w:t>
            </w:r>
          </w:p>
        </w:tc>
        <w:tc>
          <w:tcPr>
            <w:tcW w:type="dxa" w:w="1300"/>
            <w:tcBorders>
              <w:top w:val="single" w:color="DDEBF7" w:sz="4"/>
              <w:left w:val="single" w:color="DDEBF7" w:sz="4"/>
              <w:bottom w:val="single" w:color="DDEBF7" w:sz="4"/>
              <w:right w:val="single" w:color="DDEBF7" w:sz="4"/>
            </w:tcBorders>
            <w:shd w:fill="DDEBF7" w:val="clear"/>
            <w:tcMar>
              <w:top w:type="dxa" w:w="60"/>
              <w:left w:type="dxa" w:w="100"/>
              <w:bottom w:type="dxa" w:w="60"/>
              <w:right w:type="dxa" w:w="100"/>
            </w:tcMar>
            <w:vAlign w:val="center"/>
          </w:tcPr>
          <w:p>
            <w:pPr>
              <w:jc w:val="center"/>
            </w:pPr>
            <w:r>
              <w:rPr>
                <w:rFonts w:ascii="Arial" w:cs="Arial" w:eastAsia="Arial" w:hAnsi="Arial"/>
                <w:b/>
                <w:bCs/>
                <w:i w:val="false"/>
                <w:iCs w:val="false"/>
                <w:color w:val="1F4E79"/>
                <w:sz w:val="17"/>
                <w:szCs w:val="17"/>
              </w:rPr>
              <w:t xml:space="preserve">~ ±0.1s</w:t>
            </w:r>
          </w:p>
        </w:tc>
        <w:tc>
          <w:tcPr>
            <w:tcW w:type="dxa" w:w="11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149 km/h</w:t>
            </w:r>
          </w:p>
        </w:tc>
        <w:tc>
          <w:tcPr>
            <w:tcW w:type="dxa" w:w="16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133–141 km/h</w:t>
            </w:r>
          </w:p>
        </w:tc>
        <w:tc>
          <w:tcPr>
            <w:tcW w:type="dxa" w:w="11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F6000"/>
                <w:sz w:val="17"/>
                <w:szCs w:val="17"/>
              </w:rPr>
              <w:t xml:space="preserve">+12 km/h</w:t>
            </w:r>
          </w:p>
        </w:tc>
        <w:tc>
          <w:tcPr>
            <w:tcW w:type="dxa" w:w="208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MCN 2019/xBhp</w:t>
            </w:r>
          </w:p>
        </w:tc>
      </w:tr>
      <w:tr>
        <w:tc>
          <w:tcPr>
            <w:tcW w:type="dxa" w:w="26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Kawasaki ZX-10R '21</w:t>
            </w:r>
          </w:p>
        </w:tc>
        <w:tc>
          <w:tcPr>
            <w:tcW w:type="dxa" w:w="11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10.308s</w:t>
            </w:r>
          </w:p>
        </w:tc>
        <w:tc>
          <w:tcPr>
            <w:tcW w:type="dxa" w:w="17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10.42–10.58s</w:t>
            </w:r>
          </w:p>
        </w:tc>
        <w:tc>
          <w:tcPr>
            <w:tcW w:type="dxa" w:w="10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-0.112s</w:t>
            </w:r>
          </w:p>
        </w:tc>
        <w:tc>
          <w:tcPr>
            <w:tcW w:type="dxa" w:w="1300"/>
            <w:tcBorders>
              <w:top w:val="single" w:color="FFEB9C" w:sz="4"/>
              <w:left w:val="single" w:color="FFEB9C" w:sz="4"/>
              <w:bottom w:val="single" w:color="FFEB9C" w:sz="4"/>
              <w:right w:val="single" w:color="FFEB9C" w:sz="4"/>
            </w:tcBorders>
            <w:shd w:fill="FFEB9C" w:val="clear"/>
            <w:tcMar>
              <w:top w:type="dxa" w:w="60"/>
              <w:left w:type="dxa" w:w="100"/>
              <w:bottom w:type="dxa" w:w="60"/>
              <w:right w:type="dxa" w:w="100"/>
            </w:tcMar>
            <w:vAlign w:val="center"/>
          </w:tcPr>
          <w:p>
            <w:pPr>
              <w:jc w:val="center"/>
            </w:pPr>
            <w:r>
              <w:rPr>
                <w:rFonts w:ascii="Arial" w:cs="Arial" w:eastAsia="Arial" w:hAnsi="Arial"/>
                <w:b/>
                <w:bCs/>
                <w:i w:val="false"/>
                <w:iCs w:val="false"/>
                <w:color w:val="7F6000"/>
                <w:sz w:val="17"/>
                <w:szCs w:val="17"/>
              </w:rPr>
              <w:t xml:space="preserve">~ ±0.2s</w:t>
            </w:r>
          </w:p>
        </w:tc>
        <w:tc>
          <w:tcPr>
            <w:tcW w:type="dxa" w:w="11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249 km/h</w:t>
            </w:r>
          </w:p>
        </w:tc>
        <w:tc>
          <w:tcPr>
            <w:tcW w:type="dxa" w:w="16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213–220 km/h</w:t>
            </w:r>
          </w:p>
        </w:tc>
        <w:tc>
          <w:tcPr>
            <w:tcW w:type="dxa" w:w="11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9C0006"/>
                <w:sz w:val="17"/>
                <w:szCs w:val="17"/>
              </w:rPr>
              <w:t xml:space="preserve">+33 km/h</w:t>
            </w:r>
          </w:p>
        </w:tc>
        <w:tc>
          <w:tcPr>
            <w:tcW w:type="dxa" w:w="208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Motorcyclist/MCN 2021</w:t>
            </w:r>
          </w:p>
        </w:tc>
      </w:tr>
      <w:tr>
        <w:tc>
          <w:tcPr>
            <w:tcW w:type="dxa" w:w="26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BMW S1000RR '19+</w:t>
            </w:r>
          </w:p>
        </w:tc>
        <w:tc>
          <w:tcPr>
            <w:tcW w:type="dxa" w:w="11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10.264s</w:t>
            </w:r>
          </w:p>
        </w:tc>
        <w:tc>
          <w:tcPr>
            <w:tcW w:type="dxa" w:w="17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10.38–10.55s</w:t>
            </w:r>
          </w:p>
        </w:tc>
        <w:tc>
          <w:tcPr>
            <w:tcW w:type="dxa" w:w="10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-0.116s</w:t>
            </w:r>
          </w:p>
        </w:tc>
        <w:tc>
          <w:tcPr>
            <w:tcW w:type="dxa" w:w="1300"/>
            <w:tcBorders>
              <w:top w:val="single" w:color="FFEB9C" w:sz="4"/>
              <w:left w:val="single" w:color="FFEB9C" w:sz="4"/>
              <w:bottom w:val="single" w:color="FFEB9C" w:sz="4"/>
              <w:right w:val="single" w:color="FFEB9C" w:sz="4"/>
            </w:tcBorders>
            <w:shd w:fill="FFEB9C" w:val="clear"/>
            <w:tcMar>
              <w:top w:type="dxa" w:w="60"/>
              <w:left w:type="dxa" w:w="100"/>
              <w:bottom w:type="dxa" w:w="60"/>
              <w:right w:type="dxa" w:w="100"/>
            </w:tcMar>
            <w:vAlign w:val="center"/>
          </w:tcPr>
          <w:p>
            <w:pPr>
              <w:jc w:val="center"/>
            </w:pPr>
            <w:r>
              <w:rPr>
                <w:rFonts w:ascii="Arial" w:cs="Arial" w:eastAsia="Arial" w:hAnsi="Arial"/>
                <w:b/>
                <w:bCs/>
                <w:i w:val="false"/>
                <w:iCs w:val="false"/>
                <w:color w:val="7F6000"/>
                <w:sz w:val="17"/>
                <w:szCs w:val="17"/>
              </w:rPr>
              <w:t xml:space="preserve">~ ±0.2s</w:t>
            </w:r>
          </w:p>
        </w:tc>
        <w:tc>
          <w:tcPr>
            <w:tcW w:type="dxa" w:w="11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250 km/h</w:t>
            </w:r>
          </w:p>
        </w:tc>
        <w:tc>
          <w:tcPr>
            <w:tcW w:type="dxa" w:w="16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214–222 km/h</w:t>
            </w:r>
          </w:p>
        </w:tc>
        <w:tc>
          <w:tcPr>
            <w:tcW w:type="dxa" w:w="11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9C0006"/>
                <w:sz w:val="17"/>
                <w:szCs w:val="17"/>
              </w:rPr>
              <w:t xml:space="preserve">+32 km/h</w:t>
            </w:r>
          </w:p>
        </w:tc>
        <w:tc>
          <w:tcPr>
            <w:tcW w:type="dxa" w:w="208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CycleWorld/MCN 2020</w:t>
            </w:r>
          </w:p>
        </w:tc>
      </w:tr>
      <w:tr>
        <w:tc>
          <w:tcPr>
            <w:tcW w:type="dxa" w:w="26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Yamaha YZF-R1 '15</w:t>
            </w:r>
          </w:p>
        </w:tc>
        <w:tc>
          <w:tcPr>
            <w:tcW w:type="dxa" w:w="11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10.263s</w:t>
            </w:r>
          </w:p>
        </w:tc>
        <w:tc>
          <w:tcPr>
            <w:tcW w:type="dxa" w:w="17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10.40–10.60s</w:t>
            </w:r>
          </w:p>
        </w:tc>
        <w:tc>
          <w:tcPr>
            <w:tcW w:type="dxa" w:w="10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-0.137s</w:t>
            </w:r>
          </w:p>
        </w:tc>
        <w:tc>
          <w:tcPr>
            <w:tcW w:type="dxa" w:w="1300"/>
            <w:tcBorders>
              <w:top w:val="single" w:color="FFEB9C" w:sz="4"/>
              <w:left w:val="single" w:color="FFEB9C" w:sz="4"/>
              <w:bottom w:val="single" w:color="FFEB9C" w:sz="4"/>
              <w:right w:val="single" w:color="FFEB9C" w:sz="4"/>
            </w:tcBorders>
            <w:shd w:fill="FFEB9C" w:val="clear"/>
            <w:tcMar>
              <w:top w:type="dxa" w:w="60"/>
              <w:left w:type="dxa" w:w="100"/>
              <w:bottom w:type="dxa" w:w="60"/>
              <w:right w:type="dxa" w:w="100"/>
            </w:tcMar>
            <w:vAlign w:val="center"/>
          </w:tcPr>
          <w:p>
            <w:pPr>
              <w:jc w:val="center"/>
            </w:pPr>
            <w:r>
              <w:rPr>
                <w:rFonts w:ascii="Arial" w:cs="Arial" w:eastAsia="Arial" w:hAnsi="Arial"/>
                <w:b/>
                <w:bCs/>
                <w:i w:val="false"/>
                <w:iCs w:val="false"/>
                <w:color w:val="7F6000"/>
                <w:sz w:val="17"/>
                <w:szCs w:val="17"/>
              </w:rPr>
              <w:t xml:space="preserve">~ ±0.2s</w:t>
            </w:r>
          </w:p>
        </w:tc>
        <w:tc>
          <w:tcPr>
            <w:tcW w:type="dxa" w:w="11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247 km/h</w:t>
            </w:r>
          </w:p>
        </w:tc>
        <w:tc>
          <w:tcPr>
            <w:tcW w:type="dxa" w:w="16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214–221 km/h</w:t>
            </w:r>
          </w:p>
        </w:tc>
        <w:tc>
          <w:tcPr>
            <w:tcW w:type="dxa" w:w="11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9C0006"/>
                <w:sz w:val="17"/>
                <w:szCs w:val="17"/>
              </w:rPr>
              <w:t xml:space="preserve">+30 km/h</w:t>
            </w:r>
          </w:p>
        </w:tc>
        <w:tc>
          <w:tcPr>
            <w:tcW w:type="dxa" w:w="208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CycleWorld/MCN 2015</w:t>
            </w:r>
          </w:p>
        </w:tc>
      </w:tr>
      <w:tr>
        <w:tc>
          <w:tcPr>
            <w:tcW w:type="dxa" w:w="26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BMW S1000RR '15</w:t>
            </w:r>
          </w:p>
        </w:tc>
        <w:tc>
          <w:tcPr>
            <w:tcW w:type="dxa" w:w="11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10.286s</w:t>
            </w:r>
          </w:p>
        </w:tc>
        <w:tc>
          <w:tcPr>
            <w:tcW w:type="dxa" w:w="17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10.47–10.65s</w:t>
            </w:r>
          </w:p>
        </w:tc>
        <w:tc>
          <w:tcPr>
            <w:tcW w:type="dxa" w:w="10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-0.184s</w:t>
            </w:r>
          </w:p>
        </w:tc>
        <w:tc>
          <w:tcPr>
            <w:tcW w:type="dxa" w:w="1300"/>
            <w:tcBorders>
              <w:top w:val="single" w:color="FFEB9C" w:sz="4"/>
              <w:left w:val="single" w:color="FFEB9C" w:sz="4"/>
              <w:bottom w:val="single" w:color="FFEB9C" w:sz="4"/>
              <w:right w:val="single" w:color="FFEB9C" w:sz="4"/>
            </w:tcBorders>
            <w:shd w:fill="FFEB9C" w:val="clear"/>
            <w:tcMar>
              <w:top w:type="dxa" w:w="60"/>
              <w:left w:type="dxa" w:w="100"/>
              <w:bottom w:type="dxa" w:w="60"/>
              <w:right w:type="dxa" w:w="100"/>
            </w:tcMar>
            <w:vAlign w:val="center"/>
          </w:tcPr>
          <w:p>
            <w:pPr>
              <w:jc w:val="center"/>
            </w:pPr>
            <w:r>
              <w:rPr>
                <w:rFonts w:ascii="Arial" w:cs="Arial" w:eastAsia="Arial" w:hAnsi="Arial"/>
                <w:b/>
                <w:bCs/>
                <w:i w:val="false"/>
                <w:iCs w:val="false"/>
                <w:color w:val="7F6000"/>
                <w:sz w:val="17"/>
                <w:szCs w:val="17"/>
              </w:rPr>
              <w:t xml:space="preserve">~ ±0.2s</w:t>
            </w:r>
          </w:p>
        </w:tc>
        <w:tc>
          <w:tcPr>
            <w:tcW w:type="dxa" w:w="11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247 km/h</w:t>
            </w:r>
          </w:p>
        </w:tc>
        <w:tc>
          <w:tcPr>
            <w:tcW w:type="dxa" w:w="16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213–220 km/h</w:t>
            </w:r>
          </w:p>
        </w:tc>
        <w:tc>
          <w:tcPr>
            <w:tcW w:type="dxa" w:w="11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9C0006"/>
                <w:sz w:val="17"/>
                <w:szCs w:val="17"/>
              </w:rPr>
              <w:t xml:space="preserve">+31 km/h</w:t>
            </w:r>
          </w:p>
        </w:tc>
        <w:tc>
          <w:tcPr>
            <w:tcW w:type="dxa" w:w="208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CycleWorld/Motorcyclist 2015</w:t>
            </w:r>
          </w:p>
        </w:tc>
      </w:tr>
      <w:tr>
        <w:tc>
          <w:tcPr>
            <w:tcW w:type="dxa" w:w="26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Suzuki GSX-R600 K6</w:t>
            </w:r>
          </w:p>
        </w:tc>
        <w:tc>
          <w:tcPr>
            <w:tcW w:type="dxa" w:w="11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11.517s</w:t>
            </w:r>
          </w:p>
        </w:tc>
        <w:tc>
          <w:tcPr>
            <w:tcW w:type="dxa" w:w="17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11.12–11.32s</w:t>
            </w:r>
          </w:p>
        </w:tc>
        <w:tc>
          <w:tcPr>
            <w:tcW w:type="dxa" w:w="10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+0.197s</w:t>
            </w:r>
          </w:p>
        </w:tc>
        <w:tc>
          <w:tcPr>
            <w:tcW w:type="dxa" w:w="1300"/>
            <w:tcBorders>
              <w:top w:val="single" w:color="FFEB9C" w:sz="4"/>
              <w:left w:val="single" w:color="FFEB9C" w:sz="4"/>
              <w:bottom w:val="single" w:color="FFEB9C" w:sz="4"/>
              <w:right w:val="single" w:color="FFEB9C" w:sz="4"/>
            </w:tcBorders>
            <w:shd w:fill="FFEB9C" w:val="clear"/>
            <w:tcMar>
              <w:top w:type="dxa" w:w="60"/>
              <w:left w:type="dxa" w:w="100"/>
              <w:bottom w:type="dxa" w:w="60"/>
              <w:right w:type="dxa" w:w="100"/>
            </w:tcMar>
            <w:vAlign w:val="center"/>
          </w:tcPr>
          <w:p>
            <w:pPr>
              <w:jc w:val="center"/>
            </w:pPr>
            <w:r>
              <w:rPr>
                <w:rFonts w:ascii="Arial" w:cs="Arial" w:eastAsia="Arial" w:hAnsi="Arial"/>
                <w:b/>
                <w:bCs/>
                <w:i w:val="false"/>
                <w:iCs w:val="false"/>
                <w:color w:val="7F6000"/>
                <w:sz w:val="17"/>
                <w:szCs w:val="17"/>
              </w:rPr>
              <w:t xml:space="preserve">~ ±0.2s</w:t>
            </w:r>
          </w:p>
        </w:tc>
        <w:tc>
          <w:tcPr>
            <w:tcW w:type="dxa" w:w="11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214 km/h</w:t>
            </w:r>
          </w:p>
        </w:tc>
        <w:tc>
          <w:tcPr>
            <w:tcW w:type="dxa" w:w="16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196–203 km/h</w:t>
            </w:r>
          </w:p>
        </w:tc>
        <w:tc>
          <w:tcPr>
            <w:tcW w:type="dxa" w:w="11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F6000"/>
                <w:sz w:val="17"/>
                <w:szCs w:val="17"/>
              </w:rPr>
              <w:t xml:space="preserve">+15 km/h</w:t>
            </w:r>
          </w:p>
        </w:tc>
        <w:tc>
          <w:tcPr>
            <w:tcW w:type="dxa" w:w="208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CycleWorld/Motorcyclist 2006</w:t>
            </w:r>
          </w:p>
        </w:tc>
      </w:tr>
      <w:tr>
        <w:tc>
          <w:tcPr>
            <w:tcW w:type="dxa" w:w="26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Honda CBR600RR '07</w:t>
            </w:r>
          </w:p>
        </w:tc>
        <w:tc>
          <w:tcPr>
            <w:tcW w:type="dxa" w:w="11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11.403s</w:t>
            </w:r>
          </w:p>
        </w:tc>
        <w:tc>
          <w:tcPr>
            <w:tcW w:type="dxa" w:w="17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11.02–11.22s</w:t>
            </w:r>
          </w:p>
        </w:tc>
        <w:tc>
          <w:tcPr>
            <w:tcW w:type="dxa" w:w="10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+0.183s</w:t>
            </w:r>
          </w:p>
        </w:tc>
        <w:tc>
          <w:tcPr>
            <w:tcW w:type="dxa" w:w="1300"/>
            <w:tcBorders>
              <w:top w:val="single" w:color="FFEB9C" w:sz="4"/>
              <w:left w:val="single" w:color="FFEB9C" w:sz="4"/>
              <w:bottom w:val="single" w:color="FFEB9C" w:sz="4"/>
              <w:right w:val="single" w:color="FFEB9C" w:sz="4"/>
            </w:tcBorders>
            <w:shd w:fill="FFEB9C" w:val="clear"/>
            <w:tcMar>
              <w:top w:type="dxa" w:w="60"/>
              <w:left w:type="dxa" w:w="100"/>
              <w:bottom w:type="dxa" w:w="60"/>
              <w:right w:type="dxa" w:w="100"/>
            </w:tcMar>
            <w:vAlign w:val="center"/>
          </w:tcPr>
          <w:p>
            <w:pPr>
              <w:jc w:val="center"/>
            </w:pPr>
            <w:r>
              <w:rPr>
                <w:rFonts w:ascii="Arial" w:cs="Arial" w:eastAsia="Arial" w:hAnsi="Arial"/>
                <w:b/>
                <w:bCs/>
                <w:i w:val="false"/>
                <w:iCs w:val="false"/>
                <w:color w:val="7F6000"/>
                <w:sz w:val="17"/>
                <w:szCs w:val="17"/>
              </w:rPr>
              <w:t xml:space="preserve">~ ±0.2s</w:t>
            </w:r>
          </w:p>
        </w:tc>
        <w:tc>
          <w:tcPr>
            <w:tcW w:type="dxa" w:w="11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217 km/h</w:t>
            </w:r>
          </w:p>
        </w:tc>
        <w:tc>
          <w:tcPr>
            <w:tcW w:type="dxa" w:w="16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196–203 km/h</w:t>
            </w:r>
          </w:p>
        </w:tc>
        <w:tc>
          <w:tcPr>
            <w:tcW w:type="dxa" w:w="11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F6000"/>
                <w:sz w:val="17"/>
                <w:szCs w:val="17"/>
              </w:rPr>
              <w:t xml:space="preserve">+18 km/h</w:t>
            </w:r>
          </w:p>
        </w:tc>
        <w:tc>
          <w:tcPr>
            <w:tcW w:type="dxa" w:w="208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CycleWorld/Motorcyclist 2007</w:t>
            </w:r>
          </w:p>
        </w:tc>
      </w:tr>
      <w:tr>
        <w:tc>
          <w:tcPr>
            <w:tcW w:type="dxa" w:w="26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Kawasaki Ninja H2 '15</w:t>
            </w:r>
          </w:p>
        </w:tc>
        <w:tc>
          <w:tcPr>
            <w:tcW w:type="dxa" w:w="11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10.078s</w:t>
            </w:r>
          </w:p>
        </w:tc>
        <w:tc>
          <w:tcPr>
            <w:tcW w:type="dxa" w:w="17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9.72–9.95s</w:t>
            </w:r>
          </w:p>
        </w:tc>
        <w:tc>
          <w:tcPr>
            <w:tcW w:type="dxa" w:w="10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+0.128s</w:t>
            </w:r>
          </w:p>
        </w:tc>
        <w:tc>
          <w:tcPr>
            <w:tcW w:type="dxa" w:w="1300"/>
            <w:tcBorders>
              <w:top w:val="single" w:color="FFEB9C" w:sz="4"/>
              <w:left w:val="single" w:color="FFEB9C" w:sz="4"/>
              <w:bottom w:val="single" w:color="FFEB9C" w:sz="4"/>
              <w:right w:val="single" w:color="FFEB9C" w:sz="4"/>
            </w:tcBorders>
            <w:shd w:fill="FFEB9C" w:val="clear"/>
            <w:tcMar>
              <w:top w:type="dxa" w:w="60"/>
              <w:left w:type="dxa" w:w="100"/>
              <w:bottom w:type="dxa" w:w="60"/>
              <w:right w:type="dxa" w:w="100"/>
            </w:tcMar>
            <w:vAlign w:val="center"/>
          </w:tcPr>
          <w:p>
            <w:pPr>
              <w:jc w:val="center"/>
            </w:pPr>
            <w:r>
              <w:rPr>
                <w:rFonts w:ascii="Arial" w:cs="Arial" w:eastAsia="Arial" w:hAnsi="Arial"/>
                <w:b/>
                <w:bCs/>
                <w:i w:val="false"/>
                <w:iCs w:val="false"/>
                <w:color w:val="7F6000"/>
                <w:sz w:val="17"/>
                <w:szCs w:val="17"/>
              </w:rPr>
              <w:t xml:space="preserve">~ ±0.2s</w:t>
            </w:r>
          </w:p>
        </w:tc>
        <w:tc>
          <w:tcPr>
            <w:tcW w:type="dxa" w:w="11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263 km/h</w:t>
            </w:r>
          </w:p>
        </w:tc>
        <w:tc>
          <w:tcPr>
            <w:tcW w:type="dxa" w:w="16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235–248 km/h</w:t>
            </w:r>
          </w:p>
        </w:tc>
        <w:tc>
          <w:tcPr>
            <w:tcW w:type="dxa" w:w="11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9C0006"/>
                <w:sz w:val="17"/>
                <w:szCs w:val="17"/>
              </w:rPr>
              <w:t xml:space="preserve">+22 km/h</w:t>
            </w:r>
          </w:p>
        </w:tc>
        <w:tc>
          <w:tcPr>
            <w:tcW w:type="dxa" w:w="208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CycleWorld/MCN 2015</w:t>
            </w:r>
          </w:p>
        </w:tc>
      </w:tr>
      <w:tr>
        <w:tc>
          <w:tcPr>
            <w:tcW w:type="dxa" w:w="26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Suzuki GSX-R1000 K9</w:t>
            </w:r>
          </w:p>
        </w:tc>
        <w:tc>
          <w:tcPr>
            <w:tcW w:type="dxa" w:w="11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10.198s</w:t>
            </w:r>
          </w:p>
        </w:tc>
        <w:tc>
          <w:tcPr>
            <w:tcW w:type="dxa" w:w="17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10.38–10.58s</w:t>
            </w:r>
          </w:p>
        </w:tc>
        <w:tc>
          <w:tcPr>
            <w:tcW w:type="dxa" w:w="10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-0.182s</w:t>
            </w:r>
          </w:p>
        </w:tc>
        <w:tc>
          <w:tcPr>
            <w:tcW w:type="dxa" w:w="1300"/>
            <w:tcBorders>
              <w:top w:val="single" w:color="FFEB9C" w:sz="4"/>
              <w:left w:val="single" w:color="FFEB9C" w:sz="4"/>
              <w:bottom w:val="single" w:color="FFEB9C" w:sz="4"/>
              <w:right w:val="single" w:color="FFEB9C" w:sz="4"/>
            </w:tcBorders>
            <w:shd w:fill="FFEB9C" w:val="clear"/>
            <w:tcMar>
              <w:top w:type="dxa" w:w="60"/>
              <w:left w:type="dxa" w:w="100"/>
              <w:bottom w:type="dxa" w:w="60"/>
              <w:right w:type="dxa" w:w="100"/>
            </w:tcMar>
            <w:vAlign w:val="center"/>
          </w:tcPr>
          <w:p>
            <w:pPr>
              <w:jc w:val="center"/>
            </w:pPr>
            <w:r>
              <w:rPr>
                <w:rFonts w:ascii="Arial" w:cs="Arial" w:eastAsia="Arial" w:hAnsi="Arial"/>
                <w:b/>
                <w:bCs/>
                <w:i w:val="false"/>
                <w:iCs w:val="false"/>
                <w:color w:val="7F6000"/>
                <w:sz w:val="17"/>
                <w:szCs w:val="17"/>
              </w:rPr>
              <w:t xml:space="preserve">~ ±0.2s</w:t>
            </w:r>
          </w:p>
        </w:tc>
        <w:tc>
          <w:tcPr>
            <w:tcW w:type="dxa" w:w="11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246 km/h</w:t>
            </w:r>
          </w:p>
        </w:tc>
        <w:tc>
          <w:tcPr>
            <w:tcW w:type="dxa" w:w="16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213–220 km/h</w:t>
            </w:r>
          </w:p>
        </w:tc>
        <w:tc>
          <w:tcPr>
            <w:tcW w:type="dxa" w:w="11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9C0006"/>
                <w:sz w:val="17"/>
                <w:szCs w:val="17"/>
              </w:rPr>
              <w:t xml:space="preserve">+30 km/h</w:t>
            </w:r>
          </w:p>
        </w:tc>
        <w:tc>
          <w:tcPr>
            <w:tcW w:type="dxa" w:w="208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CycleWorld/Motorcyclist 2009</w:t>
            </w:r>
          </w:p>
        </w:tc>
      </w:tr>
      <w:tr>
        <w:tc>
          <w:tcPr>
            <w:tcW w:type="dxa" w:w="26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Yamaha MT-07 '18</w:t>
            </w:r>
          </w:p>
        </w:tc>
        <w:tc>
          <w:tcPr>
            <w:tcW w:type="dxa" w:w="11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12.615s</w:t>
            </w:r>
          </w:p>
        </w:tc>
        <w:tc>
          <w:tcPr>
            <w:tcW w:type="dxa" w:w="17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12.15–12.45s</w:t>
            </w:r>
          </w:p>
        </w:tc>
        <w:tc>
          <w:tcPr>
            <w:tcW w:type="dxa" w:w="10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+0.165s</w:t>
            </w:r>
          </w:p>
        </w:tc>
        <w:tc>
          <w:tcPr>
            <w:tcW w:type="dxa" w:w="1300"/>
            <w:tcBorders>
              <w:top w:val="single" w:color="FFEB9C" w:sz="4"/>
              <w:left w:val="single" w:color="FFEB9C" w:sz="4"/>
              <w:bottom w:val="single" w:color="FFEB9C" w:sz="4"/>
              <w:right w:val="single" w:color="FFEB9C" w:sz="4"/>
            </w:tcBorders>
            <w:shd w:fill="FFEB9C" w:val="clear"/>
            <w:tcMar>
              <w:top w:type="dxa" w:w="60"/>
              <w:left w:type="dxa" w:w="100"/>
              <w:bottom w:type="dxa" w:w="60"/>
              <w:right w:type="dxa" w:w="100"/>
            </w:tcMar>
            <w:vAlign w:val="center"/>
          </w:tcPr>
          <w:p>
            <w:pPr>
              <w:jc w:val="center"/>
            </w:pPr>
            <w:r>
              <w:rPr>
                <w:rFonts w:ascii="Arial" w:cs="Arial" w:eastAsia="Arial" w:hAnsi="Arial"/>
                <w:b/>
                <w:bCs/>
                <w:i w:val="false"/>
                <w:iCs w:val="false"/>
                <w:color w:val="7F6000"/>
                <w:sz w:val="17"/>
                <w:szCs w:val="17"/>
              </w:rPr>
              <w:t xml:space="preserve">~ ±0.2s</w:t>
            </w:r>
          </w:p>
        </w:tc>
        <w:tc>
          <w:tcPr>
            <w:tcW w:type="dxa" w:w="11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180 km/h</w:t>
            </w:r>
          </w:p>
        </w:tc>
        <w:tc>
          <w:tcPr>
            <w:tcW w:type="dxa" w:w="16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173–180 km/h</w:t>
            </w:r>
          </w:p>
        </w:tc>
        <w:tc>
          <w:tcPr>
            <w:tcW w:type="dxa" w:w="11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75623"/>
                <w:sz w:val="17"/>
                <w:szCs w:val="17"/>
              </w:rPr>
              <w:t xml:space="preserve">+4 km/h</w:t>
            </w:r>
          </w:p>
        </w:tc>
        <w:tc>
          <w:tcPr>
            <w:tcW w:type="dxa" w:w="208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MCN/Visordown 2018</w:t>
            </w:r>
          </w:p>
        </w:tc>
      </w:tr>
      <w:tr>
        <w:tc>
          <w:tcPr>
            <w:tcW w:type="dxa" w:w="26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Kawasaki ZX-6R '09</w:t>
            </w:r>
          </w:p>
        </w:tc>
        <w:tc>
          <w:tcPr>
            <w:tcW w:type="dxa" w:w="11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11.285s</w:t>
            </w:r>
          </w:p>
        </w:tc>
        <w:tc>
          <w:tcPr>
            <w:tcW w:type="dxa" w:w="17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10.98–11.18s</w:t>
            </w:r>
          </w:p>
        </w:tc>
        <w:tc>
          <w:tcPr>
            <w:tcW w:type="dxa" w:w="10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+0.105s</w:t>
            </w:r>
          </w:p>
        </w:tc>
        <w:tc>
          <w:tcPr>
            <w:tcW w:type="dxa" w:w="1300"/>
            <w:tcBorders>
              <w:top w:val="single" w:color="FFEB9C" w:sz="4"/>
              <w:left w:val="single" w:color="FFEB9C" w:sz="4"/>
              <w:bottom w:val="single" w:color="FFEB9C" w:sz="4"/>
              <w:right w:val="single" w:color="FFEB9C" w:sz="4"/>
            </w:tcBorders>
            <w:shd w:fill="FFEB9C" w:val="clear"/>
            <w:tcMar>
              <w:top w:type="dxa" w:w="60"/>
              <w:left w:type="dxa" w:w="100"/>
              <w:bottom w:type="dxa" w:w="60"/>
              <w:right w:type="dxa" w:w="100"/>
            </w:tcMar>
            <w:vAlign w:val="center"/>
          </w:tcPr>
          <w:p>
            <w:pPr>
              <w:jc w:val="center"/>
            </w:pPr>
            <w:r>
              <w:rPr>
                <w:rFonts w:ascii="Arial" w:cs="Arial" w:eastAsia="Arial" w:hAnsi="Arial"/>
                <w:b/>
                <w:bCs/>
                <w:i w:val="false"/>
                <w:iCs w:val="false"/>
                <w:color w:val="7F6000"/>
                <w:sz w:val="17"/>
                <w:szCs w:val="17"/>
              </w:rPr>
              <w:t xml:space="preserve">~ ±0.2s</w:t>
            </w:r>
          </w:p>
        </w:tc>
        <w:tc>
          <w:tcPr>
            <w:tcW w:type="dxa" w:w="11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220 km/h</w:t>
            </w:r>
          </w:p>
        </w:tc>
        <w:tc>
          <w:tcPr>
            <w:tcW w:type="dxa" w:w="16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196–203 km/h</w:t>
            </w:r>
          </w:p>
        </w:tc>
        <w:tc>
          <w:tcPr>
            <w:tcW w:type="dxa" w:w="110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9C0006"/>
                <w:sz w:val="17"/>
                <w:szCs w:val="17"/>
              </w:rPr>
              <w:t xml:space="preserve">+21 km/h</w:t>
            </w:r>
          </w:p>
        </w:tc>
        <w:tc>
          <w:tcPr>
            <w:tcW w:type="dxa" w:w="2080"/>
            <w:tcBorders>
              <w:top w:val="single" w:color="FFFDE7" w:sz="4"/>
              <w:left w:val="single" w:color="FFFDE7" w:sz="4"/>
              <w:bottom w:val="single" w:color="FFFDE7" w:sz="4"/>
              <w:right w:val="single" w:color="FFFDE7" w:sz="4"/>
            </w:tcBorders>
            <w:shd w:fill="FFFDE7"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CycleWorld/Motorcyclist 2009</w:t>
            </w:r>
          </w:p>
        </w:tc>
      </w:tr>
      <w:tr>
        <w:tc>
          <w:tcPr>
            <w:tcW w:type="dxa" w:w="26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Kawasaki ZX-10R '11</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10.206s</w:t>
            </w:r>
          </w:p>
        </w:tc>
        <w:tc>
          <w:tcPr>
            <w:tcW w:type="dxa" w:w="17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10.47–10.65s</w:t>
            </w:r>
          </w:p>
        </w:tc>
        <w:tc>
          <w:tcPr>
            <w:tcW w:type="dxa" w:w="10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-0.264s</w:t>
            </w:r>
          </w:p>
        </w:tc>
        <w:tc>
          <w:tcPr>
            <w:tcW w:type="dxa" w:w="1300"/>
            <w:tcBorders>
              <w:top w:val="single" w:color="FFC7CE" w:sz="4"/>
              <w:left w:val="single" w:color="FFC7CE" w:sz="4"/>
              <w:bottom w:val="single" w:color="FFC7CE" w:sz="4"/>
              <w:right w:val="single" w:color="FFC7CE" w:sz="4"/>
            </w:tcBorders>
            <w:shd w:fill="FFC7CE" w:val="clear"/>
            <w:tcMar>
              <w:top w:type="dxa" w:w="60"/>
              <w:left w:type="dxa" w:w="100"/>
              <w:bottom w:type="dxa" w:w="60"/>
              <w:right w:type="dxa" w:w="100"/>
            </w:tcMar>
            <w:vAlign w:val="center"/>
          </w:tcPr>
          <w:p>
            <w:pPr>
              <w:jc w:val="center"/>
            </w:pPr>
            <w:r>
              <w:rPr>
                <w:rFonts w:ascii="Arial" w:cs="Arial" w:eastAsia="Arial" w:hAnsi="Arial"/>
                <w:b/>
                <w:bCs/>
                <w:i w:val="false"/>
                <w:iCs w:val="false"/>
                <w:color w:val="9C0006"/>
                <w:sz w:val="17"/>
                <w:szCs w:val="17"/>
              </w:rPr>
              <w:t xml:space="preserve">✗ &gt;0.2s</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249 km/h</w:t>
            </w:r>
          </w:p>
        </w:tc>
        <w:tc>
          <w:tcPr>
            <w:tcW w:type="dxa" w:w="16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212–219 km/h</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9C0006"/>
                <w:sz w:val="17"/>
                <w:szCs w:val="17"/>
              </w:rPr>
              <w:t xml:space="preserve">+34 km/h</w:t>
            </w:r>
          </w:p>
        </w:tc>
        <w:tc>
          <w:tcPr>
            <w:tcW w:type="dxa" w:w="208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CycleWorld/Motorcyclist 2011</w:t>
            </w:r>
          </w:p>
        </w:tc>
      </w:tr>
      <w:tr>
        <w:tc>
          <w:tcPr>
            <w:tcW w:type="dxa" w:w="26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Honda CBR1000RR SP '17</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10.292s</w:t>
            </w:r>
          </w:p>
        </w:tc>
        <w:tc>
          <w:tcPr>
            <w:tcW w:type="dxa" w:w="17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10.52–10.70s</w:t>
            </w:r>
          </w:p>
        </w:tc>
        <w:tc>
          <w:tcPr>
            <w:tcW w:type="dxa" w:w="10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-0.228s</w:t>
            </w:r>
          </w:p>
        </w:tc>
        <w:tc>
          <w:tcPr>
            <w:tcW w:type="dxa" w:w="1300"/>
            <w:tcBorders>
              <w:top w:val="single" w:color="FFC7CE" w:sz="4"/>
              <w:left w:val="single" w:color="FFC7CE" w:sz="4"/>
              <w:bottom w:val="single" w:color="FFC7CE" w:sz="4"/>
              <w:right w:val="single" w:color="FFC7CE" w:sz="4"/>
            </w:tcBorders>
            <w:shd w:fill="FFC7CE" w:val="clear"/>
            <w:tcMar>
              <w:top w:type="dxa" w:w="60"/>
              <w:left w:type="dxa" w:w="100"/>
              <w:bottom w:type="dxa" w:w="60"/>
              <w:right w:type="dxa" w:w="100"/>
            </w:tcMar>
            <w:vAlign w:val="center"/>
          </w:tcPr>
          <w:p>
            <w:pPr>
              <w:jc w:val="center"/>
            </w:pPr>
            <w:r>
              <w:rPr>
                <w:rFonts w:ascii="Arial" w:cs="Arial" w:eastAsia="Arial" w:hAnsi="Arial"/>
                <w:b/>
                <w:bCs/>
                <w:i w:val="false"/>
                <w:iCs w:val="false"/>
                <w:color w:val="9C0006"/>
                <w:sz w:val="17"/>
                <w:szCs w:val="17"/>
              </w:rPr>
              <w:t xml:space="preserve">✗ &gt;0.2s</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245 km/h</w:t>
            </w:r>
          </w:p>
        </w:tc>
        <w:tc>
          <w:tcPr>
            <w:tcW w:type="dxa" w:w="16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210–217 km/h</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9C0006"/>
                <w:sz w:val="17"/>
                <w:szCs w:val="17"/>
              </w:rPr>
              <w:t xml:space="preserve">+32 km/h</w:t>
            </w:r>
          </w:p>
        </w:tc>
        <w:tc>
          <w:tcPr>
            <w:tcW w:type="dxa" w:w="208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CycleWorld/Motorcyclist 2017</w:t>
            </w:r>
          </w:p>
        </w:tc>
      </w:tr>
      <w:tr>
        <w:tc>
          <w:tcPr>
            <w:tcW w:type="dxa" w:w="26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Kawasaki Z1000 '14</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10.901s</w:t>
            </w:r>
          </w:p>
        </w:tc>
        <w:tc>
          <w:tcPr>
            <w:tcW w:type="dxa" w:w="17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11.14–11.35s</w:t>
            </w:r>
          </w:p>
        </w:tc>
        <w:tc>
          <w:tcPr>
            <w:tcW w:type="dxa" w:w="10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-0.239s</w:t>
            </w:r>
          </w:p>
        </w:tc>
        <w:tc>
          <w:tcPr>
            <w:tcW w:type="dxa" w:w="1300"/>
            <w:tcBorders>
              <w:top w:val="single" w:color="FFC7CE" w:sz="4"/>
              <w:left w:val="single" w:color="FFC7CE" w:sz="4"/>
              <w:bottom w:val="single" w:color="FFC7CE" w:sz="4"/>
              <w:right w:val="single" w:color="FFC7CE" w:sz="4"/>
            </w:tcBorders>
            <w:shd w:fill="FFC7CE" w:val="clear"/>
            <w:tcMar>
              <w:top w:type="dxa" w:w="60"/>
              <w:left w:type="dxa" w:w="100"/>
              <w:bottom w:type="dxa" w:w="60"/>
              <w:right w:type="dxa" w:w="100"/>
            </w:tcMar>
            <w:vAlign w:val="center"/>
          </w:tcPr>
          <w:p>
            <w:pPr>
              <w:jc w:val="center"/>
            </w:pPr>
            <w:r>
              <w:rPr>
                <w:rFonts w:ascii="Arial" w:cs="Arial" w:eastAsia="Arial" w:hAnsi="Arial"/>
                <w:b/>
                <w:bCs/>
                <w:i w:val="false"/>
                <w:iCs w:val="false"/>
                <w:color w:val="9C0006"/>
                <w:sz w:val="17"/>
                <w:szCs w:val="17"/>
              </w:rPr>
              <w:t xml:space="preserve">✗ &gt;0.2s</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216 km/h</w:t>
            </w:r>
          </w:p>
        </w:tc>
        <w:tc>
          <w:tcPr>
            <w:tcW w:type="dxa" w:w="16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200–208 km/h</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F6000"/>
                <w:sz w:val="17"/>
                <w:szCs w:val="17"/>
              </w:rPr>
              <w:t xml:space="preserve">+12 km/h</w:t>
            </w:r>
          </w:p>
        </w:tc>
        <w:tc>
          <w:tcPr>
            <w:tcW w:type="dxa" w:w="208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MCN/Visordown 2014</w:t>
            </w:r>
          </w:p>
        </w:tc>
      </w:tr>
      <w:tr>
        <w:tc>
          <w:tcPr>
            <w:tcW w:type="dxa" w:w="26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Yamaha YZF-R1 '07</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10.252s</w:t>
            </w:r>
          </w:p>
        </w:tc>
        <w:tc>
          <w:tcPr>
            <w:tcW w:type="dxa" w:w="17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10.50–10.70s</w:t>
            </w:r>
          </w:p>
        </w:tc>
        <w:tc>
          <w:tcPr>
            <w:tcW w:type="dxa" w:w="10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-0.248s</w:t>
            </w:r>
          </w:p>
        </w:tc>
        <w:tc>
          <w:tcPr>
            <w:tcW w:type="dxa" w:w="1300"/>
            <w:tcBorders>
              <w:top w:val="single" w:color="FFC7CE" w:sz="4"/>
              <w:left w:val="single" w:color="FFC7CE" w:sz="4"/>
              <w:bottom w:val="single" w:color="FFC7CE" w:sz="4"/>
              <w:right w:val="single" w:color="FFC7CE" w:sz="4"/>
            </w:tcBorders>
            <w:shd w:fill="FFC7CE" w:val="clear"/>
            <w:tcMar>
              <w:top w:type="dxa" w:w="60"/>
              <w:left w:type="dxa" w:w="100"/>
              <w:bottom w:type="dxa" w:w="60"/>
              <w:right w:type="dxa" w:w="100"/>
            </w:tcMar>
            <w:vAlign w:val="center"/>
          </w:tcPr>
          <w:p>
            <w:pPr>
              <w:jc w:val="center"/>
            </w:pPr>
            <w:r>
              <w:rPr>
                <w:rFonts w:ascii="Arial" w:cs="Arial" w:eastAsia="Arial" w:hAnsi="Arial"/>
                <w:b/>
                <w:bCs/>
                <w:i w:val="false"/>
                <w:iCs w:val="false"/>
                <w:color w:val="9C0006"/>
                <w:sz w:val="17"/>
                <w:szCs w:val="17"/>
              </w:rPr>
              <w:t xml:space="preserve">✗ &gt;0.2s</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244 km/h</w:t>
            </w:r>
          </w:p>
        </w:tc>
        <w:tc>
          <w:tcPr>
            <w:tcW w:type="dxa" w:w="16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211–218 km/h</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9C0006"/>
                <w:sz w:val="17"/>
                <w:szCs w:val="17"/>
              </w:rPr>
              <w:t xml:space="preserve">+30 km/h</w:t>
            </w:r>
          </w:p>
        </w:tc>
        <w:tc>
          <w:tcPr>
            <w:tcW w:type="dxa" w:w="208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CycleWorld/Motorcyclist 2007</w:t>
            </w:r>
          </w:p>
        </w:tc>
      </w:tr>
      <w:tr>
        <w:tc>
          <w:tcPr>
            <w:tcW w:type="dxa" w:w="26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Suzuki GSX-R1000 L7</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10.107s</w:t>
            </w:r>
          </w:p>
        </w:tc>
        <w:tc>
          <w:tcPr>
            <w:tcW w:type="dxa" w:w="17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10.35–10.55s</w:t>
            </w:r>
          </w:p>
        </w:tc>
        <w:tc>
          <w:tcPr>
            <w:tcW w:type="dxa" w:w="10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-0.243s</w:t>
            </w:r>
          </w:p>
        </w:tc>
        <w:tc>
          <w:tcPr>
            <w:tcW w:type="dxa" w:w="1300"/>
            <w:tcBorders>
              <w:top w:val="single" w:color="FFC7CE" w:sz="4"/>
              <w:left w:val="single" w:color="FFC7CE" w:sz="4"/>
              <w:bottom w:val="single" w:color="FFC7CE" w:sz="4"/>
              <w:right w:val="single" w:color="FFC7CE" w:sz="4"/>
            </w:tcBorders>
            <w:shd w:fill="FFC7CE" w:val="clear"/>
            <w:tcMar>
              <w:top w:type="dxa" w:w="60"/>
              <w:left w:type="dxa" w:w="100"/>
              <w:bottom w:type="dxa" w:w="60"/>
              <w:right w:type="dxa" w:w="100"/>
            </w:tcMar>
            <w:vAlign w:val="center"/>
          </w:tcPr>
          <w:p>
            <w:pPr>
              <w:jc w:val="center"/>
            </w:pPr>
            <w:r>
              <w:rPr>
                <w:rFonts w:ascii="Arial" w:cs="Arial" w:eastAsia="Arial" w:hAnsi="Arial"/>
                <w:b/>
                <w:bCs/>
                <w:i w:val="false"/>
                <w:iCs w:val="false"/>
                <w:color w:val="9C0006"/>
                <w:sz w:val="17"/>
                <w:szCs w:val="17"/>
              </w:rPr>
              <w:t xml:space="preserve">✗ &gt;0.2s</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252 km/h</w:t>
            </w:r>
          </w:p>
        </w:tc>
        <w:tc>
          <w:tcPr>
            <w:tcW w:type="dxa" w:w="16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214–221 km/h</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9C0006"/>
                <w:sz w:val="17"/>
                <w:szCs w:val="17"/>
              </w:rPr>
              <w:t xml:space="preserve">+35 km/h</w:t>
            </w:r>
          </w:p>
        </w:tc>
        <w:tc>
          <w:tcPr>
            <w:tcW w:type="dxa" w:w="208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CycleWorld/Motorcyclist 2017</w:t>
            </w:r>
          </w:p>
        </w:tc>
      </w:tr>
      <w:tr>
        <w:tc>
          <w:tcPr>
            <w:tcW w:type="dxa" w:w="26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Aprilia RSV4 Factory</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10.056s</w:t>
            </w:r>
          </w:p>
        </w:tc>
        <w:tc>
          <w:tcPr>
            <w:tcW w:type="dxa" w:w="17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10.30–10.50s</w:t>
            </w:r>
          </w:p>
        </w:tc>
        <w:tc>
          <w:tcPr>
            <w:tcW w:type="dxa" w:w="10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-0.244s</w:t>
            </w:r>
          </w:p>
        </w:tc>
        <w:tc>
          <w:tcPr>
            <w:tcW w:type="dxa" w:w="1300"/>
            <w:tcBorders>
              <w:top w:val="single" w:color="FFC7CE" w:sz="4"/>
              <w:left w:val="single" w:color="FFC7CE" w:sz="4"/>
              <w:bottom w:val="single" w:color="FFC7CE" w:sz="4"/>
              <w:right w:val="single" w:color="FFC7CE" w:sz="4"/>
            </w:tcBorders>
            <w:shd w:fill="FFC7CE" w:val="clear"/>
            <w:tcMar>
              <w:top w:type="dxa" w:w="60"/>
              <w:left w:type="dxa" w:w="100"/>
              <w:bottom w:type="dxa" w:w="60"/>
              <w:right w:type="dxa" w:w="100"/>
            </w:tcMar>
            <w:vAlign w:val="center"/>
          </w:tcPr>
          <w:p>
            <w:pPr>
              <w:jc w:val="center"/>
            </w:pPr>
            <w:r>
              <w:rPr>
                <w:rFonts w:ascii="Arial" w:cs="Arial" w:eastAsia="Arial" w:hAnsi="Arial"/>
                <w:b/>
                <w:bCs/>
                <w:i w:val="false"/>
                <w:iCs w:val="false"/>
                <w:color w:val="9C0006"/>
                <w:sz w:val="17"/>
                <w:szCs w:val="17"/>
              </w:rPr>
              <w:t xml:space="preserve">✗ &gt;0.2s</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257 km/h</w:t>
            </w:r>
          </w:p>
        </w:tc>
        <w:tc>
          <w:tcPr>
            <w:tcW w:type="dxa" w:w="16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215–222 km/h</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9C0006"/>
                <w:sz w:val="17"/>
                <w:szCs w:val="17"/>
              </w:rPr>
              <w:t xml:space="preserve">+39 km/h</w:t>
            </w:r>
          </w:p>
        </w:tc>
        <w:tc>
          <w:tcPr>
            <w:tcW w:type="dxa" w:w="208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CycleWorld/MCN 2022</w:t>
            </w:r>
          </w:p>
        </w:tc>
      </w:tr>
      <w:tr>
        <w:tc>
          <w:tcPr>
            <w:tcW w:type="dxa" w:w="26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Kawasaki Z900 '20</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11.152s</w:t>
            </w:r>
          </w:p>
        </w:tc>
        <w:tc>
          <w:tcPr>
            <w:tcW w:type="dxa" w:w="17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11.50–11.75s</w:t>
            </w:r>
          </w:p>
        </w:tc>
        <w:tc>
          <w:tcPr>
            <w:tcW w:type="dxa" w:w="10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-0.348s</w:t>
            </w:r>
          </w:p>
        </w:tc>
        <w:tc>
          <w:tcPr>
            <w:tcW w:type="dxa" w:w="1300"/>
            <w:tcBorders>
              <w:top w:val="single" w:color="FFC7CE" w:sz="4"/>
              <w:left w:val="single" w:color="FFC7CE" w:sz="4"/>
              <w:bottom w:val="single" w:color="FFC7CE" w:sz="4"/>
              <w:right w:val="single" w:color="FFC7CE" w:sz="4"/>
            </w:tcBorders>
            <w:shd w:fill="FFC7CE" w:val="clear"/>
            <w:tcMar>
              <w:top w:type="dxa" w:w="60"/>
              <w:left w:type="dxa" w:w="100"/>
              <w:bottom w:type="dxa" w:w="60"/>
              <w:right w:type="dxa" w:w="100"/>
            </w:tcMar>
            <w:vAlign w:val="center"/>
          </w:tcPr>
          <w:p>
            <w:pPr>
              <w:jc w:val="center"/>
            </w:pPr>
            <w:r>
              <w:rPr>
                <w:rFonts w:ascii="Arial" w:cs="Arial" w:eastAsia="Arial" w:hAnsi="Arial"/>
                <w:b/>
                <w:bCs/>
                <w:i w:val="false"/>
                <w:iCs w:val="false"/>
                <w:color w:val="9C0006"/>
                <w:sz w:val="17"/>
                <w:szCs w:val="17"/>
              </w:rPr>
              <w:t xml:space="preserve">✗ &gt;0.2s</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212 km/h</w:t>
            </w:r>
          </w:p>
        </w:tc>
        <w:tc>
          <w:tcPr>
            <w:tcW w:type="dxa" w:w="16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193–200 km/h</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F6000"/>
                <w:sz w:val="17"/>
                <w:szCs w:val="17"/>
              </w:rPr>
              <w:t xml:space="preserve">+16 km/h</w:t>
            </w:r>
          </w:p>
        </w:tc>
        <w:tc>
          <w:tcPr>
            <w:tcW w:type="dxa" w:w="208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MCN/Visordown 2020</w:t>
            </w:r>
          </w:p>
        </w:tc>
      </w:tr>
      <w:tr>
        <w:tc>
          <w:tcPr>
            <w:tcW w:type="dxa" w:w="26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Ducati Panigale V4 '18</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10.096s</w:t>
            </w:r>
          </w:p>
        </w:tc>
        <w:tc>
          <w:tcPr>
            <w:tcW w:type="dxa" w:w="17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10.48–10.68s</w:t>
            </w:r>
          </w:p>
        </w:tc>
        <w:tc>
          <w:tcPr>
            <w:tcW w:type="dxa" w:w="10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-0.384s</w:t>
            </w:r>
          </w:p>
        </w:tc>
        <w:tc>
          <w:tcPr>
            <w:tcW w:type="dxa" w:w="1300"/>
            <w:tcBorders>
              <w:top w:val="single" w:color="FFC7CE" w:sz="4"/>
              <w:left w:val="single" w:color="FFC7CE" w:sz="4"/>
              <w:bottom w:val="single" w:color="FFC7CE" w:sz="4"/>
              <w:right w:val="single" w:color="FFC7CE" w:sz="4"/>
            </w:tcBorders>
            <w:shd w:fill="FFC7CE" w:val="clear"/>
            <w:tcMar>
              <w:top w:type="dxa" w:w="60"/>
              <w:left w:type="dxa" w:w="100"/>
              <w:bottom w:type="dxa" w:w="60"/>
              <w:right w:type="dxa" w:w="100"/>
            </w:tcMar>
            <w:vAlign w:val="center"/>
          </w:tcPr>
          <w:p>
            <w:pPr>
              <w:jc w:val="center"/>
            </w:pPr>
            <w:r>
              <w:rPr>
                <w:rFonts w:ascii="Arial" w:cs="Arial" w:eastAsia="Arial" w:hAnsi="Arial"/>
                <w:b/>
                <w:bCs/>
                <w:i w:val="false"/>
                <w:iCs w:val="false"/>
                <w:color w:val="9C0006"/>
                <w:sz w:val="17"/>
                <w:szCs w:val="17"/>
              </w:rPr>
              <w:t xml:space="preserve">✗ &gt;0.2s</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256 km/h</w:t>
            </w:r>
          </w:p>
        </w:tc>
        <w:tc>
          <w:tcPr>
            <w:tcW w:type="dxa" w:w="16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212–219 km/h</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9C0006"/>
                <w:sz w:val="17"/>
                <w:szCs w:val="17"/>
              </w:rPr>
              <w:t xml:space="preserve">+41 km/h</w:t>
            </w:r>
          </w:p>
        </w:tc>
        <w:tc>
          <w:tcPr>
            <w:tcW w:type="dxa" w:w="208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CycleWorld/MCN 2018</w:t>
            </w:r>
          </w:p>
        </w:tc>
      </w:tr>
      <w:tr>
        <w:tc>
          <w:tcPr>
            <w:tcW w:type="dxa" w:w="26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Ducati 1199 Panigale</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9.984s</w:t>
            </w:r>
          </w:p>
        </w:tc>
        <w:tc>
          <w:tcPr>
            <w:tcW w:type="dxa" w:w="17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10.55–10.75s</w:t>
            </w:r>
          </w:p>
        </w:tc>
        <w:tc>
          <w:tcPr>
            <w:tcW w:type="dxa" w:w="10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-0.566s</w:t>
            </w:r>
          </w:p>
        </w:tc>
        <w:tc>
          <w:tcPr>
            <w:tcW w:type="dxa" w:w="1300"/>
            <w:tcBorders>
              <w:top w:val="single" w:color="FFC7CE" w:sz="4"/>
              <w:left w:val="single" w:color="FFC7CE" w:sz="4"/>
              <w:bottom w:val="single" w:color="FFC7CE" w:sz="4"/>
              <w:right w:val="single" w:color="FFC7CE" w:sz="4"/>
            </w:tcBorders>
            <w:shd w:fill="FFC7CE" w:val="clear"/>
            <w:tcMar>
              <w:top w:type="dxa" w:w="60"/>
              <w:left w:type="dxa" w:w="100"/>
              <w:bottom w:type="dxa" w:w="60"/>
              <w:right w:type="dxa" w:w="100"/>
            </w:tcMar>
            <w:vAlign w:val="center"/>
          </w:tcPr>
          <w:p>
            <w:pPr>
              <w:jc w:val="center"/>
            </w:pPr>
            <w:r>
              <w:rPr>
                <w:rFonts w:ascii="Arial" w:cs="Arial" w:eastAsia="Arial" w:hAnsi="Arial"/>
                <w:b/>
                <w:bCs/>
                <w:i w:val="false"/>
                <w:iCs w:val="false"/>
                <w:color w:val="9C0006"/>
                <w:sz w:val="17"/>
                <w:szCs w:val="17"/>
              </w:rPr>
              <w:t xml:space="preserve">✗ &gt;0.2s</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253 km/h</w:t>
            </w:r>
          </w:p>
        </w:tc>
        <w:tc>
          <w:tcPr>
            <w:tcW w:type="dxa" w:w="16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210–217 km/h</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9C0006"/>
                <w:sz w:val="17"/>
                <w:szCs w:val="17"/>
              </w:rPr>
              <w:t xml:space="preserve">+40 km/h</w:t>
            </w:r>
          </w:p>
        </w:tc>
        <w:tc>
          <w:tcPr>
            <w:tcW w:type="dxa" w:w="208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CycleWorld/MCN 2012</w:t>
            </w:r>
          </w:p>
        </w:tc>
      </w:tr>
      <w:tr>
        <w:tc>
          <w:tcPr>
            <w:tcW w:type="dxa" w:w="26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Ducati 1299 Panigale</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9.875s</w:t>
            </w:r>
          </w:p>
        </w:tc>
        <w:tc>
          <w:tcPr>
            <w:tcW w:type="dxa" w:w="17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10.42–10.62s</w:t>
            </w:r>
          </w:p>
        </w:tc>
        <w:tc>
          <w:tcPr>
            <w:tcW w:type="dxa" w:w="10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-0.545s</w:t>
            </w:r>
          </w:p>
        </w:tc>
        <w:tc>
          <w:tcPr>
            <w:tcW w:type="dxa" w:w="1300"/>
            <w:tcBorders>
              <w:top w:val="single" w:color="FFC7CE" w:sz="4"/>
              <w:left w:val="single" w:color="FFC7CE" w:sz="4"/>
              <w:bottom w:val="single" w:color="FFC7CE" w:sz="4"/>
              <w:right w:val="single" w:color="FFC7CE" w:sz="4"/>
            </w:tcBorders>
            <w:shd w:fill="FFC7CE" w:val="clear"/>
            <w:tcMar>
              <w:top w:type="dxa" w:w="60"/>
              <w:left w:type="dxa" w:w="100"/>
              <w:bottom w:type="dxa" w:w="60"/>
              <w:right w:type="dxa" w:w="100"/>
            </w:tcMar>
            <w:vAlign w:val="center"/>
          </w:tcPr>
          <w:p>
            <w:pPr>
              <w:jc w:val="center"/>
            </w:pPr>
            <w:r>
              <w:rPr>
                <w:rFonts w:ascii="Arial" w:cs="Arial" w:eastAsia="Arial" w:hAnsi="Arial"/>
                <w:b/>
                <w:bCs/>
                <w:i w:val="false"/>
                <w:iCs w:val="false"/>
                <w:color w:val="9C0006"/>
                <w:sz w:val="17"/>
                <w:szCs w:val="17"/>
              </w:rPr>
              <w:t xml:space="preserve">✗ &gt;0.2s</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258 km/h</w:t>
            </w:r>
          </w:p>
        </w:tc>
        <w:tc>
          <w:tcPr>
            <w:tcW w:type="dxa" w:w="16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213–220 km/h</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9C0006"/>
                <w:sz w:val="17"/>
                <w:szCs w:val="17"/>
              </w:rPr>
              <w:t xml:space="preserve">+42 km/h</w:t>
            </w:r>
          </w:p>
        </w:tc>
        <w:tc>
          <w:tcPr>
            <w:tcW w:type="dxa" w:w="208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CycleWorld/MCN 2015</w:t>
            </w:r>
          </w:p>
        </w:tc>
      </w:tr>
      <w:tr>
        <w:tc>
          <w:tcPr>
            <w:tcW w:type="dxa" w:w="26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KTM 390 Duke '23</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15.055s</w:t>
            </w:r>
          </w:p>
        </w:tc>
        <w:tc>
          <w:tcPr>
            <w:tcW w:type="dxa" w:w="17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14.20–14.80s</w:t>
            </w:r>
          </w:p>
        </w:tc>
        <w:tc>
          <w:tcPr>
            <w:tcW w:type="dxa" w:w="10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+0.255s</w:t>
            </w:r>
          </w:p>
        </w:tc>
        <w:tc>
          <w:tcPr>
            <w:tcW w:type="dxa" w:w="1300"/>
            <w:tcBorders>
              <w:top w:val="single" w:color="FFC7CE" w:sz="4"/>
              <w:left w:val="single" w:color="FFC7CE" w:sz="4"/>
              <w:bottom w:val="single" w:color="FFC7CE" w:sz="4"/>
              <w:right w:val="single" w:color="FFC7CE" w:sz="4"/>
            </w:tcBorders>
            <w:shd w:fill="FFC7CE" w:val="clear"/>
            <w:tcMar>
              <w:top w:type="dxa" w:w="60"/>
              <w:left w:type="dxa" w:w="100"/>
              <w:bottom w:type="dxa" w:w="60"/>
              <w:right w:type="dxa" w:w="100"/>
            </w:tcMar>
            <w:vAlign w:val="center"/>
          </w:tcPr>
          <w:p>
            <w:pPr>
              <w:jc w:val="center"/>
            </w:pPr>
            <w:r>
              <w:rPr>
                <w:rFonts w:ascii="Arial" w:cs="Arial" w:eastAsia="Arial" w:hAnsi="Arial"/>
                <w:b/>
                <w:bCs/>
                <w:i w:val="false"/>
                <w:iCs w:val="false"/>
                <w:color w:val="9C0006"/>
                <w:sz w:val="17"/>
                <w:szCs w:val="17"/>
              </w:rPr>
              <w:t xml:space="preserve">✗ &gt;0.2s</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156 km/h</w:t>
            </w:r>
          </w:p>
        </w:tc>
        <w:tc>
          <w:tcPr>
            <w:tcW w:type="dxa" w:w="16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133–141 km/h</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F6000"/>
                <w:sz w:val="17"/>
                <w:szCs w:val="17"/>
              </w:rPr>
              <w:t xml:space="preserve">+19 km/h</w:t>
            </w:r>
          </w:p>
        </w:tc>
        <w:tc>
          <w:tcPr>
            <w:tcW w:type="dxa" w:w="208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xBhp/BikeDekho</w:t>
            </w:r>
          </w:p>
        </w:tc>
      </w:tr>
      <w:tr>
        <w:tc>
          <w:tcPr>
            <w:tcW w:type="dxa" w:w="26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KTM 390 Duke '17</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15.250s</w:t>
            </w:r>
          </w:p>
        </w:tc>
        <w:tc>
          <w:tcPr>
            <w:tcW w:type="dxa" w:w="17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14.35–14.95s</w:t>
            </w:r>
          </w:p>
        </w:tc>
        <w:tc>
          <w:tcPr>
            <w:tcW w:type="dxa" w:w="10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+0.300s</w:t>
            </w:r>
          </w:p>
        </w:tc>
        <w:tc>
          <w:tcPr>
            <w:tcW w:type="dxa" w:w="1300"/>
            <w:tcBorders>
              <w:top w:val="single" w:color="FFC7CE" w:sz="4"/>
              <w:left w:val="single" w:color="FFC7CE" w:sz="4"/>
              <w:bottom w:val="single" w:color="FFC7CE" w:sz="4"/>
              <w:right w:val="single" w:color="FFC7CE" w:sz="4"/>
            </w:tcBorders>
            <w:shd w:fill="FFC7CE" w:val="clear"/>
            <w:tcMar>
              <w:top w:type="dxa" w:w="60"/>
              <w:left w:type="dxa" w:w="100"/>
              <w:bottom w:type="dxa" w:w="60"/>
              <w:right w:type="dxa" w:w="100"/>
            </w:tcMar>
            <w:vAlign w:val="center"/>
          </w:tcPr>
          <w:p>
            <w:pPr>
              <w:jc w:val="center"/>
            </w:pPr>
            <w:r>
              <w:rPr>
                <w:rFonts w:ascii="Arial" w:cs="Arial" w:eastAsia="Arial" w:hAnsi="Arial"/>
                <w:b/>
                <w:bCs/>
                <w:i w:val="false"/>
                <w:iCs w:val="false"/>
                <w:color w:val="9C0006"/>
                <w:sz w:val="17"/>
                <w:szCs w:val="17"/>
              </w:rPr>
              <w:t xml:space="preserve">✗ &gt;0.2s</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153 km/h</w:t>
            </w:r>
          </w:p>
        </w:tc>
        <w:tc>
          <w:tcPr>
            <w:tcW w:type="dxa" w:w="16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131–139 km/h</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F6000"/>
                <w:sz w:val="17"/>
                <w:szCs w:val="17"/>
              </w:rPr>
              <w:t xml:space="preserve">+18 km/h</w:t>
            </w:r>
          </w:p>
        </w:tc>
        <w:tc>
          <w:tcPr>
            <w:tcW w:type="dxa" w:w="208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xBhp/overdrive.in</w:t>
            </w:r>
          </w:p>
        </w:tc>
      </w:tr>
      <w:tr>
        <w:tc>
          <w:tcPr>
            <w:tcW w:type="dxa" w:w="26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Bajaj Dominar 400 '19</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16.048s</w:t>
            </w:r>
          </w:p>
        </w:tc>
        <w:tc>
          <w:tcPr>
            <w:tcW w:type="dxa" w:w="17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14.80–15.40s</w:t>
            </w:r>
          </w:p>
        </w:tc>
        <w:tc>
          <w:tcPr>
            <w:tcW w:type="dxa" w:w="10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+0.648s</w:t>
            </w:r>
          </w:p>
        </w:tc>
        <w:tc>
          <w:tcPr>
            <w:tcW w:type="dxa" w:w="1300"/>
            <w:tcBorders>
              <w:top w:val="single" w:color="FFC7CE" w:sz="4"/>
              <w:left w:val="single" w:color="FFC7CE" w:sz="4"/>
              <w:bottom w:val="single" w:color="FFC7CE" w:sz="4"/>
              <w:right w:val="single" w:color="FFC7CE" w:sz="4"/>
            </w:tcBorders>
            <w:shd w:fill="FFC7CE" w:val="clear"/>
            <w:tcMar>
              <w:top w:type="dxa" w:w="60"/>
              <w:left w:type="dxa" w:w="100"/>
              <w:bottom w:type="dxa" w:w="60"/>
              <w:right w:type="dxa" w:w="100"/>
            </w:tcMar>
            <w:vAlign w:val="center"/>
          </w:tcPr>
          <w:p>
            <w:pPr>
              <w:jc w:val="center"/>
            </w:pPr>
            <w:r>
              <w:rPr>
                <w:rFonts w:ascii="Arial" w:cs="Arial" w:eastAsia="Arial" w:hAnsi="Arial"/>
                <w:b/>
                <w:bCs/>
                <w:i w:val="false"/>
                <w:iCs w:val="false"/>
                <w:color w:val="9C0006"/>
                <w:sz w:val="17"/>
                <w:szCs w:val="17"/>
              </w:rPr>
              <w:t xml:space="preserve">✗ &gt;0.2s</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145 km/h</w:t>
            </w:r>
          </w:p>
        </w:tc>
        <w:tc>
          <w:tcPr>
            <w:tcW w:type="dxa" w:w="16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127–135 km/h</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F6000"/>
                <w:sz w:val="17"/>
                <w:szCs w:val="17"/>
              </w:rPr>
              <w:t xml:space="preserve">+14 km/h</w:t>
            </w:r>
          </w:p>
        </w:tc>
        <w:tc>
          <w:tcPr>
            <w:tcW w:type="dxa" w:w="208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xBhp/overdrive.in</w:t>
            </w:r>
          </w:p>
        </w:tc>
      </w:tr>
      <w:tr>
        <w:tc>
          <w:tcPr>
            <w:tcW w:type="dxa" w:w="26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TVS Apache RR 310</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17.055s</w:t>
            </w:r>
          </w:p>
        </w:tc>
        <w:tc>
          <w:tcPr>
            <w:tcW w:type="dxa" w:w="17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15.30–16.00s</w:t>
            </w:r>
          </w:p>
        </w:tc>
        <w:tc>
          <w:tcPr>
            <w:tcW w:type="dxa" w:w="10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+1.055s</w:t>
            </w:r>
          </w:p>
        </w:tc>
        <w:tc>
          <w:tcPr>
            <w:tcW w:type="dxa" w:w="1300"/>
            <w:tcBorders>
              <w:top w:val="single" w:color="FFC7CE" w:sz="4"/>
              <w:left w:val="single" w:color="FFC7CE" w:sz="4"/>
              <w:bottom w:val="single" w:color="FFC7CE" w:sz="4"/>
              <w:right w:val="single" w:color="FFC7CE" w:sz="4"/>
            </w:tcBorders>
            <w:shd w:fill="FFC7CE" w:val="clear"/>
            <w:tcMar>
              <w:top w:type="dxa" w:w="60"/>
              <w:left w:type="dxa" w:w="100"/>
              <w:bottom w:type="dxa" w:w="60"/>
              <w:right w:type="dxa" w:w="100"/>
            </w:tcMar>
            <w:vAlign w:val="center"/>
          </w:tcPr>
          <w:p>
            <w:pPr>
              <w:jc w:val="center"/>
            </w:pPr>
            <w:r>
              <w:rPr>
                <w:rFonts w:ascii="Arial" w:cs="Arial" w:eastAsia="Arial" w:hAnsi="Arial"/>
                <w:b/>
                <w:bCs/>
                <w:i w:val="false"/>
                <w:iCs w:val="false"/>
                <w:color w:val="9C0006"/>
                <w:sz w:val="17"/>
                <w:szCs w:val="17"/>
              </w:rPr>
              <w:t xml:space="preserve">✗ &gt;0.2s</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142 km/h</w:t>
            </w:r>
          </w:p>
        </w:tc>
        <w:tc>
          <w:tcPr>
            <w:tcW w:type="dxa" w:w="16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122–130 km/h</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F6000"/>
                <w:sz w:val="17"/>
                <w:szCs w:val="17"/>
              </w:rPr>
              <w:t xml:space="preserve">+16 km/h</w:t>
            </w:r>
          </w:p>
        </w:tc>
        <w:tc>
          <w:tcPr>
            <w:tcW w:type="dxa" w:w="208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xBhp/zigwheels</w:t>
            </w:r>
          </w:p>
        </w:tc>
      </w:tr>
      <w:tr>
        <w:tc>
          <w:tcPr>
            <w:tcW w:type="dxa" w:w="26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Kawasaki Ninja 400 '18</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16.370s</w:t>
            </w:r>
          </w:p>
        </w:tc>
        <w:tc>
          <w:tcPr>
            <w:tcW w:type="dxa" w:w="17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13.45–13.85s</w:t>
            </w:r>
          </w:p>
        </w:tc>
        <w:tc>
          <w:tcPr>
            <w:tcW w:type="dxa" w:w="10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+2.520s</w:t>
            </w:r>
          </w:p>
        </w:tc>
        <w:tc>
          <w:tcPr>
            <w:tcW w:type="dxa" w:w="1300"/>
            <w:tcBorders>
              <w:top w:val="single" w:color="FFC7CE" w:sz="4"/>
              <w:left w:val="single" w:color="FFC7CE" w:sz="4"/>
              <w:bottom w:val="single" w:color="FFC7CE" w:sz="4"/>
              <w:right w:val="single" w:color="FFC7CE" w:sz="4"/>
            </w:tcBorders>
            <w:shd w:fill="FFC7CE" w:val="clear"/>
            <w:tcMar>
              <w:top w:type="dxa" w:w="60"/>
              <w:left w:type="dxa" w:w="100"/>
              <w:bottom w:type="dxa" w:w="60"/>
              <w:right w:type="dxa" w:w="100"/>
            </w:tcMar>
            <w:vAlign w:val="center"/>
          </w:tcPr>
          <w:p>
            <w:pPr>
              <w:jc w:val="center"/>
            </w:pPr>
            <w:r>
              <w:rPr>
                <w:rFonts w:ascii="Arial" w:cs="Arial" w:eastAsia="Arial" w:hAnsi="Arial"/>
                <w:b/>
                <w:bCs/>
                <w:i w:val="false"/>
                <w:iCs w:val="false"/>
                <w:color w:val="9C0006"/>
                <w:sz w:val="17"/>
                <w:szCs w:val="17"/>
              </w:rPr>
              <w:t xml:space="preserve">✗ &gt;0.2s</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146 km/h</w:t>
            </w:r>
          </w:p>
        </w:tc>
        <w:tc>
          <w:tcPr>
            <w:tcW w:type="dxa" w:w="16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7"/>
                <w:szCs w:val="17"/>
              </w:rPr>
              <w:t xml:space="preserve">148–156 km/h</w:t>
            </w:r>
          </w:p>
        </w:tc>
        <w:tc>
          <w:tcPr>
            <w:tcW w:type="dxa" w:w="110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75623"/>
                <w:sz w:val="17"/>
                <w:szCs w:val="17"/>
              </w:rPr>
              <w:t xml:space="preserve">-6 km/h</w:t>
            </w:r>
          </w:p>
        </w:tc>
        <w:tc>
          <w:tcPr>
            <w:tcW w:type="dxa" w:w="2080"/>
            <w:tcBorders>
              <w:top w:val="single" w:color="FFF3F3" w:sz="4"/>
              <w:left w:val="single" w:color="FFF3F3" w:sz="4"/>
              <w:bottom w:val="single" w:color="FFF3F3" w:sz="4"/>
              <w:right w:val="single" w:color="FFF3F3" w:sz="4"/>
            </w:tcBorders>
            <w:shd w:fill="FFF3F3"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5"/>
                <w:szCs w:val="15"/>
              </w:rPr>
              <w:t xml:space="preserve">CycleWorld 2018/BikeSocial</w:t>
            </w:r>
          </w:p>
        </w:tc>
      </w:tr>
    </w:tbl>
    <w:p>
      <w:pPr>
        <w:spacing w:after="0" w:before="120"/>
      </w:pPr>
      <w:r>
        <w:t xml:space="preserve"/>
      </w:r>
    </w:p>
    <w:p>
      <w:pPr>
        <w:spacing w:after="120" w:before="60"/>
      </w:pPr>
      <w:r>
        <w:rPr>
          <w:rFonts w:ascii="Arial" w:cs="Arial" w:eastAsia="Arial" w:hAnsi="Arial"/>
          <w:i/>
          <w:iCs/>
          <w:color w:val="595959"/>
          <w:sz w:val="16"/>
          <w:szCs w:val="16"/>
        </w:rPr>
        <w:t xml:space="preserve">Note: All simulations at ISA (15 °C, 101.325 kPa, sea level, 75 kg rider). Reference ranges span multiple published tests — wider ranges indicate more test variance. Indian-market bike data has fewer published QM records; some ranges extrapolated from 0–100 km/h + 201 m data.</w:t>
      </w:r>
    </w:p>
    <w:p>
      <w:r>
        <w:br w:type="page"/>
      </w:r>
    </w:p>
    <w:p>
      <w:pPr>
        <w:pStyle w:val="Heading2"/>
        <w:pBdr>
          <w:bottom w:val="single" w:color="2E75B6" w:sz="6" w:space="1"/>
        </w:pBdr>
        <w:spacing w:after="120" w:before="240"/>
      </w:pPr>
      <w:r>
        <w:rPr>
          <w:rFonts w:ascii="Arial" w:cs="Arial" w:eastAsia="Arial" w:hAnsi="Arial"/>
          <w:b/>
          <w:bCs/>
          <w:color w:val="1F4E79"/>
          <w:sz w:val="28"/>
          <w:szCs w:val="28"/>
        </w:rPr>
        <w:t xml:space="preserve">Analysis by Category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600"/>
        <w:gridCol w:w="1600"/>
        <w:gridCol w:w="1700"/>
        <w:gridCol w:w="4980"/>
      </w:tblGrid>
      <w:tr>
        <w:trPr>
          <w:tblHeader/>
        </w:trPr>
        <w:tc>
          <w:tcPr>
            <w:tcW w:type="dxa" w:w="26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Category</w:t>
            </w:r>
          </w:p>
        </w:tc>
        <w:tc>
          <w:tcPr>
            <w:tcW w:type="dxa" w:w="12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Bikes</w:t>
            </w:r>
          </w:p>
        </w:tc>
        <w:tc>
          <w:tcPr>
            <w:tcW w:type="dxa" w:w="16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Avg Δ ET</w:t>
            </w:r>
          </w:p>
        </w:tc>
        <w:tc>
          <w:tcPr>
            <w:tcW w:type="dxa" w:w="16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Typical Bias</w:t>
            </w:r>
          </w:p>
        </w:tc>
        <w:tc>
          <w:tcPr>
            <w:tcW w:type="dxa" w:w="17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Within ±0.20s</w:t>
            </w:r>
          </w:p>
        </w:tc>
        <w:tc>
          <w:tcPr>
            <w:tcW w:type="dxa" w:w="498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Primary Root Cause</w:t>
            </w:r>
          </w:p>
        </w:tc>
      </w:tr>
      <w:tr>
        <w:tc>
          <w:tcPr>
            <w:tcW w:type="dxa" w:w="2600"/>
            <w:tcBorders>
              <w:top w:val="single" w:color="F2F2F2" w:sz="4"/>
              <w:left w:val="single" w:color="F2F2F2" w:sz="4"/>
              <w:bottom w:val="single" w:color="F2F2F2" w:sz="4"/>
              <w:right w:val="single" w:color="F2F2F2" w:sz="4"/>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Superbike / Inline-4 (≥1000cc)</w:t>
            </w:r>
          </w:p>
        </w:tc>
        <w:tc>
          <w:tcPr>
            <w:tcW w:type="dxa" w:w="1200"/>
            <w:tcBorders>
              <w:top w:val="single" w:color="F2F2F2" w:sz="4"/>
              <w:left w:val="single" w:color="F2F2F2" w:sz="4"/>
              <w:bottom w:val="single" w:color="F2F2F2" w:sz="4"/>
              <w:right w:val="single" w:color="F2F2F2" w:sz="4"/>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12</w:t>
            </w:r>
          </w:p>
        </w:tc>
        <w:tc>
          <w:tcPr>
            <w:tcW w:type="dxa" w:w="1600"/>
            <w:tcBorders>
              <w:top w:val="single" w:color="F2F2F2" w:sz="4"/>
              <w:left w:val="single" w:color="F2F2F2" w:sz="4"/>
              <w:bottom w:val="single" w:color="F2F2F2" w:sz="4"/>
              <w:right w:val="single" w:color="F2F2F2" w:sz="4"/>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9C0006"/>
                <w:sz w:val="18"/>
                <w:szCs w:val="18"/>
              </w:rPr>
              <w:t xml:space="preserve">−0.18s</w:t>
            </w:r>
          </w:p>
        </w:tc>
        <w:tc>
          <w:tcPr>
            <w:tcW w:type="dxa" w:w="1600"/>
            <w:tcBorders>
              <w:top w:val="single" w:color="F2F2F2" w:sz="4"/>
              <w:left w:val="single" w:color="F2F2F2" w:sz="4"/>
              <w:bottom w:val="single" w:color="F2F2F2" w:sz="4"/>
              <w:right w:val="single" w:color="F2F2F2" w:sz="4"/>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9C0006"/>
                <w:sz w:val="18"/>
                <w:szCs w:val="18"/>
              </w:rPr>
              <w:t xml:space="preserve">Too fast</w:t>
            </w:r>
          </w:p>
        </w:tc>
        <w:tc>
          <w:tcPr>
            <w:tcW w:type="dxa" w:w="1700"/>
            <w:tcBorders>
              <w:top w:val="single" w:color="FFEB9C" w:sz="4"/>
              <w:left w:val="single" w:color="FFEB9C" w:sz="4"/>
              <w:bottom w:val="single" w:color="FFEB9C" w:sz="4"/>
              <w:right w:val="single" w:color="FFEB9C" w:sz="4"/>
            </w:tcBorders>
            <w:shd w:fill="FFEB9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 / 12 (67%)</w:t>
            </w:r>
          </w:p>
        </w:tc>
        <w:tc>
          <w:tcPr>
            <w:tcW w:type="dxa" w:w="4980"/>
            <w:tcBorders>
              <w:top w:val="single" w:color="F2F2F2" w:sz="4"/>
              <w:left w:val="single" w:color="F2F2F2" w:sz="4"/>
              <w:bottom w:val="single" w:color="F2F2F2" w:sz="4"/>
              <w:right w:val="single" w:color="F2F2F2"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known_bikes stores manufacturer crank HP; sim uses as wheel HP → ~15% power surplus</w:t>
            </w:r>
          </w:p>
        </w:tc>
      </w:tr>
      <w:tr>
        <w:tc>
          <w:tcPr>
            <w:tcW w:type="dxa" w:w="26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Ducati L-twin (V2/1199/1299/V4)</w:t>
            </w:r>
          </w:p>
        </w:tc>
        <w:tc>
          <w:tcPr>
            <w:tcW w:type="dxa" w:w="12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1600"/>
            <w:tcBorders>
              <w:top w:val="single" w:color="FFC7CE" w:sz="4"/>
              <w:left w:val="single" w:color="FFC7CE" w:sz="4"/>
              <w:bottom w:val="single" w:color="FFC7CE" w:sz="4"/>
              <w:right w:val="single" w:color="FFC7CE" w:sz="4"/>
            </w:tcBorders>
            <w:shd w:fill="FFC7CE" w:val="clear"/>
            <w:tcMar>
              <w:top w:type="dxa" w:w="60"/>
              <w:left w:type="dxa" w:w="100"/>
              <w:bottom w:type="dxa" w:w="60"/>
              <w:right w:type="dxa" w:w="100"/>
            </w:tcMar>
            <w:vAlign w:val="center"/>
          </w:tcPr>
          <w:p>
            <w:pPr>
              <w:jc w:val="center"/>
            </w:pPr>
            <w:r>
              <w:rPr>
                <w:rFonts w:ascii="Arial" w:cs="Arial" w:eastAsia="Arial" w:hAnsi="Arial"/>
                <w:b/>
                <w:bCs/>
                <w:i w:val="false"/>
                <w:iCs w:val="false"/>
                <w:color w:val="9C0006"/>
                <w:sz w:val="18"/>
                <w:szCs w:val="18"/>
              </w:rPr>
              <w:t xml:space="preserve">−0.47s</w:t>
            </w:r>
          </w:p>
        </w:tc>
        <w:tc>
          <w:tcPr>
            <w:tcW w:type="dxa" w:w="1600"/>
            <w:tcBorders>
              <w:top w:val="single" w:color="FFC7CE" w:sz="4"/>
              <w:left w:val="single" w:color="FFC7CE" w:sz="4"/>
              <w:bottom w:val="single" w:color="FFC7CE" w:sz="4"/>
              <w:right w:val="single" w:color="FFC7CE" w:sz="4"/>
            </w:tcBorders>
            <w:shd w:fill="FFC7C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9C0006"/>
                <w:sz w:val="18"/>
                <w:szCs w:val="18"/>
              </w:rPr>
              <w:t xml:space="preserve">Too fast</w:t>
            </w:r>
          </w:p>
        </w:tc>
        <w:tc>
          <w:tcPr>
            <w:tcW w:type="dxa" w:w="1700"/>
            <w:tcBorders>
              <w:top w:val="single" w:color="FFC7CE" w:sz="4"/>
              <w:left w:val="single" w:color="FFC7CE" w:sz="4"/>
              <w:bottom w:val="single" w:color="FFC7CE" w:sz="4"/>
              <w:right w:val="single" w:color="FFC7CE" w:sz="4"/>
            </w:tcBorders>
            <w:shd w:fill="FFC7C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9C0006"/>
                <w:sz w:val="18"/>
                <w:szCs w:val="18"/>
              </w:rPr>
              <w:t xml:space="preserve">1 / 4 (25%)</w:t>
            </w:r>
          </w:p>
        </w:tc>
        <w:tc>
          <w:tcPr>
            <w:tcW w:type="dxa" w:w="498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Crank HP surplus + synthetic torque curve overestimates L-twin high-RPM power delivery</w:t>
            </w:r>
          </w:p>
        </w:tc>
      </w:tr>
      <w:tr>
        <w:tc>
          <w:tcPr>
            <w:tcW w:type="dxa" w:w="2600"/>
            <w:tcBorders>
              <w:top w:val="single" w:color="F2F2F2" w:sz="4"/>
              <w:left w:val="single" w:color="F2F2F2" w:sz="4"/>
              <w:bottom w:val="single" w:color="F2F2F2" w:sz="4"/>
              <w:right w:val="single" w:color="F2F2F2" w:sz="4"/>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Hypersport / Supercharged</w:t>
            </w:r>
          </w:p>
        </w:tc>
        <w:tc>
          <w:tcPr>
            <w:tcW w:type="dxa" w:w="1200"/>
            <w:tcBorders>
              <w:top w:val="single" w:color="F2F2F2" w:sz="4"/>
              <w:left w:val="single" w:color="F2F2F2" w:sz="4"/>
              <w:bottom w:val="single" w:color="F2F2F2" w:sz="4"/>
              <w:right w:val="single" w:color="F2F2F2" w:sz="4"/>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1600"/>
            <w:tcBorders>
              <w:top w:val="single" w:color="E2EFDA" w:sz="4"/>
              <w:left w:val="single" w:color="E2EFDA" w:sz="4"/>
              <w:bottom w:val="single" w:color="E2EFDA" w:sz="4"/>
              <w:right w:val="single" w:color="E2EFDA" w:sz="4"/>
            </w:tcBorders>
            <w:shd w:fill="E2EFDA" w:val="clear"/>
            <w:tcMar>
              <w:top w:type="dxa" w:w="60"/>
              <w:left w:type="dxa" w:w="100"/>
              <w:bottom w:type="dxa" w:w="60"/>
              <w:right w:type="dxa" w:w="100"/>
            </w:tcMar>
            <w:vAlign w:val="center"/>
          </w:tcPr>
          <w:p>
            <w:pPr>
              <w:jc w:val="center"/>
            </w:pPr>
            <w:r>
              <w:rPr>
                <w:rFonts w:ascii="Arial" w:cs="Arial" w:eastAsia="Arial" w:hAnsi="Arial"/>
                <w:b/>
                <w:bCs/>
                <w:i w:val="false"/>
                <w:iCs w:val="false"/>
                <w:color w:val="375623"/>
                <w:sz w:val="18"/>
                <w:szCs w:val="18"/>
              </w:rPr>
              <w:t xml:space="preserve">−0.01s</w:t>
            </w:r>
          </w:p>
        </w:tc>
        <w:tc>
          <w:tcPr>
            <w:tcW w:type="dxa" w:w="1600"/>
            <w:tcBorders>
              <w:top w:val="single" w:color="E2EFDA" w:sz="4"/>
              <w:left w:val="single" w:color="E2EFDA" w:sz="4"/>
              <w:bottom w:val="single" w:color="E2EFDA" w:sz="4"/>
              <w:right w:val="single" w:color="E2EFDA" w:sz="4"/>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75623"/>
                <w:sz w:val="18"/>
                <w:szCs w:val="18"/>
              </w:rPr>
              <w:t xml:space="preserve">None</w:t>
            </w:r>
          </w:p>
        </w:tc>
        <w:tc>
          <w:tcPr>
            <w:tcW w:type="dxa" w:w="1700"/>
            <w:tcBorders>
              <w:top w:val="single" w:color="E2EFDA" w:sz="4"/>
              <w:left w:val="single" w:color="E2EFDA" w:sz="4"/>
              <w:bottom w:val="single" w:color="E2EFDA" w:sz="4"/>
              <w:right w:val="single" w:color="E2EFDA" w:sz="4"/>
            </w:tcBorders>
            <w:shd w:fill="E2EFDA" w:val="clear"/>
            <w:tcMar>
              <w:top w:type="dxa" w:w="60"/>
              <w:left w:type="dxa" w:w="100"/>
              <w:bottom w:type="dxa" w:w="60"/>
              <w:right w:type="dxa" w:w="100"/>
            </w:tcMar>
            <w:vAlign w:val="center"/>
          </w:tcPr>
          <w:p>
            <w:pPr>
              <w:jc w:val="center"/>
            </w:pPr>
            <w:r>
              <w:rPr>
                <w:rFonts w:ascii="Arial" w:cs="Arial" w:eastAsia="Arial" w:hAnsi="Arial"/>
                <w:b/>
                <w:bCs/>
                <w:i w:val="false"/>
                <w:iCs w:val="false"/>
                <w:color w:val="375623"/>
                <w:sz w:val="18"/>
                <w:szCs w:val="18"/>
              </w:rPr>
              <w:t xml:space="preserve">3 / 3 (100%)</w:t>
            </w:r>
          </w:p>
        </w:tc>
        <w:tc>
          <w:tcPr>
            <w:tcW w:type="dxa" w:w="4980"/>
            <w:tcBorders>
              <w:top w:val="single" w:color="F2F2F2" w:sz="4"/>
              <w:left w:val="single" w:color="F2F2F2" w:sz="4"/>
              <w:bottom w:val="single" w:color="F2F2F2" w:sz="4"/>
              <w:right w:val="single" w:color="F2F2F2"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Excellent. H2 slightly fast (+0.13s) — forced-induction model may slightly over-boost at peak.</w:t>
            </w:r>
          </w:p>
        </w:tc>
      </w:tr>
      <w:tr>
        <w:tc>
          <w:tcPr>
            <w:tcW w:type="dxa" w:w="26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600cc Sport (inline-4)</w:t>
            </w:r>
          </w:p>
        </w:tc>
        <w:tc>
          <w:tcPr>
            <w:tcW w:type="dxa" w:w="12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1600"/>
            <w:tcBorders>
              <w:top w:val="single" w:color="FFEB9C" w:sz="4"/>
              <w:left w:val="single" w:color="FFEB9C" w:sz="4"/>
              <w:bottom w:val="single" w:color="FFEB9C" w:sz="4"/>
              <w:right w:val="single" w:color="FFEB9C" w:sz="4"/>
            </w:tcBorders>
            <w:shd w:fill="FFEB9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F6000"/>
                <w:sz w:val="18"/>
                <w:szCs w:val="18"/>
              </w:rPr>
              <w:t xml:space="preserve">+0.14s</w:t>
            </w:r>
          </w:p>
        </w:tc>
        <w:tc>
          <w:tcPr>
            <w:tcW w:type="dxa" w:w="1600"/>
            <w:tcBorders>
              <w:top w:val="single" w:color="FFEB9C" w:sz="4"/>
              <w:left w:val="single" w:color="FFEB9C" w:sz="4"/>
              <w:bottom w:val="single" w:color="FFEB9C" w:sz="4"/>
              <w:right w:val="single" w:color="FFEB9C" w:sz="4"/>
            </w:tcBorders>
            <w:shd w:fill="FFEB9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F6000"/>
                <w:sz w:val="18"/>
                <w:szCs w:val="18"/>
              </w:rPr>
              <w:t xml:space="preserve">Slightly slow</w:t>
            </w:r>
          </w:p>
        </w:tc>
        <w:tc>
          <w:tcPr>
            <w:tcW w:type="dxa" w:w="1700"/>
            <w:tcBorders>
              <w:top w:val="single" w:color="E2EFDA" w:sz="4"/>
              <w:left w:val="single" w:color="E2EFDA" w:sz="4"/>
              <w:bottom w:val="single" w:color="E2EFDA" w:sz="4"/>
              <w:right w:val="single" w:color="E2EFDA" w:sz="4"/>
            </w:tcBorders>
            <w:shd w:fill="E2EFDA" w:val="clear"/>
            <w:tcMar>
              <w:top w:type="dxa" w:w="60"/>
              <w:left w:type="dxa" w:w="100"/>
              <w:bottom w:type="dxa" w:w="60"/>
              <w:right w:type="dxa" w:w="100"/>
            </w:tcMar>
            <w:vAlign w:val="center"/>
          </w:tcPr>
          <w:p>
            <w:pPr>
              <w:jc w:val="center"/>
            </w:pPr>
            <w:r>
              <w:rPr>
                <w:rFonts w:ascii="Arial" w:cs="Arial" w:eastAsia="Arial" w:hAnsi="Arial"/>
                <w:b/>
                <w:bCs/>
                <w:i w:val="false"/>
                <w:iCs w:val="false"/>
                <w:color w:val="375623"/>
                <w:sz w:val="18"/>
                <w:szCs w:val="18"/>
              </w:rPr>
              <w:t xml:space="preserve">3 / 3 (100%)</w:t>
            </w:r>
          </w:p>
        </w:tc>
        <w:tc>
          <w:tcPr>
            <w:tcW w:type="dxa" w:w="498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Good agreement. Aero drag slightly high at 200+ km/h for tucked rider.</w:t>
            </w:r>
          </w:p>
        </w:tc>
      </w:tr>
      <w:tr>
        <w:tc>
          <w:tcPr>
            <w:tcW w:type="dxa" w:w="2600"/>
            <w:tcBorders>
              <w:top w:val="single" w:color="F2F2F2" w:sz="4"/>
              <w:left w:val="single" w:color="F2F2F2" w:sz="4"/>
              <w:bottom w:val="single" w:color="F2F2F2" w:sz="4"/>
              <w:right w:val="single" w:color="F2F2F2" w:sz="4"/>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Naked / Street (MT-07, MT-09, Z900, Z1000)</w:t>
            </w:r>
          </w:p>
        </w:tc>
        <w:tc>
          <w:tcPr>
            <w:tcW w:type="dxa" w:w="1200"/>
            <w:tcBorders>
              <w:top w:val="single" w:color="F2F2F2" w:sz="4"/>
              <w:left w:val="single" w:color="F2F2F2" w:sz="4"/>
              <w:bottom w:val="single" w:color="F2F2F2" w:sz="4"/>
              <w:right w:val="single" w:color="F2F2F2" w:sz="4"/>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1600"/>
            <w:tcBorders>
              <w:top w:val="single" w:color="F2F2F2" w:sz="4"/>
              <w:left w:val="single" w:color="F2F2F2" w:sz="4"/>
              <w:bottom w:val="single" w:color="F2F2F2" w:sz="4"/>
              <w:right w:val="single" w:color="F2F2F2" w:sz="4"/>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C65911"/>
                <w:sz w:val="18"/>
                <w:szCs w:val="18"/>
              </w:rPr>
              <w:t xml:space="preserve">−0.15s</w:t>
            </w:r>
          </w:p>
        </w:tc>
        <w:tc>
          <w:tcPr>
            <w:tcW w:type="dxa" w:w="1600"/>
            <w:tcBorders>
              <w:top w:val="single" w:color="F2F2F2" w:sz="4"/>
              <w:left w:val="single" w:color="F2F2F2" w:sz="4"/>
              <w:bottom w:val="single" w:color="F2F2F2" w:sz="4"/>
              <w:right w:val="single" w:color="F2F2F2" w:sz="4"/>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C65911"/>
                <w:sz w:val="18"/>
                <w:szCs w:val="18"/>
              </w:rPr>
              <w:t xml:space="preserve">Slightly fast</w:t>
            </w:r>
          </w:p>
        </w:tc>
        <w:tc>
          <w:tcPr>
            <w:tcW w:type="dxa" w:w="1700"/>
            <w:tcBorders>
              <w:top w:val="single" w:color="FFEB9C" w:sz="4"/>
              <w:left w:val="single" w:color="FFEB9C" w:sz="4"/>
              <w:bottom w:val="single" w:color="FFEB9C" w:sz="4"/>
              <w:right w:val="single" w:color="FFEB9C" w:sz="4"/>
            </w:tcBorders>
            <w:shd w:fill="FFEB9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3 / 4 (75%)</w:t>
            </w:r>
          </w:p>
        </w:tc>
        <w:tc>
          <w:tcPr>
            <w:tcW w:type="dxa" w:w="4980"/>
            <w:tcBorders>
              <w:top w:val="single" w:color="F2F2F2" w:sz="4"/>
              <w:left w:val="single" w:color="F2F2F2" w:sz="4"/>
              <w:bottom w:val="single" w:color="F2F2F2" w:sz="4"/>
              <w:right w:val="single" w:color="F2F2F2"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Z900/Z1000 both run too fast — crank HP surplus dominates naked bikes with less aero drag to compensate.</w:t>
            </w:r>
          </w:p>
        </w:tc>
      </w:tr>
      <w:tr>
        <w:tc>
          <w:tcPr>
            <w:tcW w:type="dxa" w:w="26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Indian Market (250–650cc)</w:t>
            </w:r>
          </w:p>
        </w:tc>
        <w:tc>
          <w:tcPr>
            <w:tcW w:type="dxa" w:w="120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6</w:t>
            </w:r>
          </w:p>
        </w:tc>
        <w:tc>
          <w:tcPr>
            <w:tcW w:type="dxa" w:w="1600"/>
            <w:tcBorders>
              <w:top w:val="single" w:color="FFC7CE" w:sz="4"/>
              <w:left w:val="single" w:color="FFC7CE" w:sz="4"/>
              <w:bottom w:val="single" w:color="FFC7CE" w:sz="4"/>
              <w:right w:val="single" w:color="FFC7CE" w:sz="4"/>
            </w:tcBorders>
            <w:shd w:fill="FFC7CE" w:val="clear"/>
            <w:tcMar>
              <w:top w:type="dxa" w:w="60"/>
              <w:left w:type="dxa" w:w="100"/>
              <w:bottom w:type="dxa" w:w="60"/>
              <w:right w:type="dxa" w:w="100"/>
            </w:tcMar>
            <w:vAlign w:val="center"/>
          </w:tcPr>
          <w:p>
            <w:pPr>
              <w:jc w:val="center"/>
            </w:pPr>
            <w:r>
              <w:rPr>
                <w:rFonts w:ascii="Arial" w:cs="Arial" w:eastAsia="Arial" w:hAnsi="Arial"/>
                <w:b/>
                <w:bCs/>
                <w:i w:val="false"/>
                <w:iCs w:val="false"/>
                <w:color w:val="9C0006"/>
                <w:sz w:val="18"/>
                <w:szCs w:val="18"/>
              </w:rPr>
              <w:t xml:space="preserve">+0.93s</w:t>
            </w:r>
          </w:p>
        </w:tc>
        <w:tc>
          <w:tcPr>
            <w:tcW w:type="dxa" w:w="1600"/>
            <w:tcBorders>
              <w:top w:val="single" w:color="FFC7CE" w:sz="4"/>
              <w:left w:val="single" w:color="FFC7CE" w:sz="4"/>
              <w:bottom w:val="single" w:color="FFC7CE" w:sz="4"/>
              <w:right w:val="single" w:color="FFC7CE" w:sz="4"/>
            </w:tcBorders>
            <w:shd w:fill="FFC7C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9C0006"/>
                <w:sz w:val="18"/>
                <w:szCs w:val="18"/>
              </w:rPr>
              <w:t xml:space="preserve">Too slow</w:t>
            </w:r>
          </w:p>
        </w:tc>
        <w:tc>
          <w:tcPr>
            <w:tcW w:type="dxa" w:w="1700"/>
            <w:tcBorders>
              <w:top w:val="single" w:color="FFC7CE" w:sz="4"/>
              <w:left w:val="single" w:color="FFC7CE" w:sz="4"/>
              <w:bottom w:val="single" w:color="FFC7CE" w:sz="4"/>
              <w:right w:val="single" w:color="FFC7CE" w:sz="4"/>
            </w:tcBorders>
            <w:shd w:fill="FFC7C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9C0006"/>
                <w:sz w:val="18"/>
                <w:szCs w:val="18"/>
              </w:rPr>
              <w:t xml:space="preserve">2 / 6 (33%)</w:t>
            </w:r>
          </w:p>
        </w:tc>
        <w:tc>
          <w:tcPr>
            <w:tcW w:type="dxa" w:w="4980"/>
            <w:tcBorders>
              <w:top w:val="single" w:color="FFFFFF" w:sz="4"/>
              <w:left w:val="single" w:color="FFFFFF" w:sz="4"/>
              <w:bottom w:val="single" w:color="FFFFFF" w:sz="4"/>
              <w:right w:val="single" w:color="FFFFF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Clutch / launch model calibrated for high-power superbikes. Small-displacement parallel twins and singles launch much better in reality.</w:t>
            </w:r>
          </w:p>
        </w:tc>
      </w:tr>
    </w:tbl>
    <w:p>
      <w:pPr>
        <w:spacing w:after="0" w:before="16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Root Cause Analysis</w:t>
      </w:r>
    </w:p>
    <w:p>
      <w:pPr>
        <w:pStyle w:val="Heading3"/>
        <w:spacing w:after="80" w:before="160"/>
      </w:pPr>
      <w:r>
        <w:rPr>
          <w:rFonts w:ascii="Arial" w:cs="Arial" w:eastAsia="Arial" w:hAnsi="Arial"/>
          <w:b/>
          <w:bCs/>
          <w:color w:val="2E75B6"/>
          <w:sz w:val="22"/>
          <w:szCs w:val="22"/>
        </w:rPr>
        <w:t xml:space="preserve">Error 1 (Systematic Fast Bias — Superbikes) — Crank HP vs. Wheel HP</w:t>
      </w:r>
    </w:p>
    <w:p>
      <w:r>
        <w:rPr>
          <w:rFonts w:ascii="Arial" w:cs="Arial" w:eastAsia="Arial" w:hAnsi="Arial"/>
          <w:b w:val="false"/>
          <w:bCs w:val="false"/>
          <w:i w:val="false"/>
          <w:iCs w:val="false"/>
          <w:color w:val="000000"/>
          <w:sz w:val="20"/>
          <w:szCs w:val="20"/>
        </w:rPr>
        <w:t xml:space="preserve">The known_bikes.py catalog stores manufacturer-published peak power figures, which are crankshaft (crank) HP measured at the engine output shaft. The physics simulation uses peak_power_hp directly as delivered power at the rear wheel. In reality, drivetrain losses (gearbox friction, chain, sprockets) reduce wheel power to approximately 85–87% of crank power for inline-4 sportbikes.</w:t>
      </w:r>
    </w:p>
    <w:p>
      <w:pPr>
        <w:spacing w:after="60" w:before="60"/>
      </w:pPr>
      <w:r>
        <w:t xml:space="preserve"/>
      </w:r>
    </w:p>
    <w:p>
      <w:r>
        <w:rPr>
          <w:rFonts w:ascii="Arial" w:cs="Arial" w:eastAsia="Arial" w:hAnsi="Arial"/>
          <w:b w:val="false"/>
          <w:bCs w:val="false"/>
          <w:i w:val="false"/>
          <w:iCs w:val="false"/>
          <w:color w:val="000000"/>
          <w:sz w:val="20"/>
          <w:szCs w:val="20"/>
        </w:rPr>
        <w:t xml:space="preserve">The three reference defaults in defaults.py (K5, R1, Hayabusa) all use explicitly-stated wheel HP — which is why they validate well. The 78 known_bikes entries do not apply this correction, creating a systematic +13–15% power surplus that makes every imported sportbike run 0.15–0.30s faster than real-world tests.</w:t>
      </w:r>
    </w:p>
    <w:p>
      <w:pPr>
        <w:spacing w:after="60" w:before="60"/>
      </w:pPr>
      <w:r>
        <w:t xml:space="preserve"/>
      </w:r>
    </w:p>
    <w:p>
      <w:r>
        <w:rPr>
          <w:rFonts w:ascii="Arial" w:cs="Arial" w:eastAsia="Arial" w:hAnsi="Arial"/>
          <w:b w:val="false"/>
          <w:bCs w:val="false"/>
          <w:i w:val="false"/>
          <w:iCs w:val="false"/>
          <w:color w:val="000000"/>
          <w:sz w:val="20"/>
          <w:szCs w:val="20"/>
        </w:rPr>
        <w:t xml:space="preserve">Recommended fix: Apply a category-dependent drivetrain efficiency factor in spec_to_bike_config() — approximately 0.86 for sport/superbike, 0.84 for naked, 0.82 for cruiser. This would move the majority of the 12 superbike cases from ±0.2s into range without touching any validated defaults.</w:t>
      </w:r>
    </w:p>
    <w:p>
      <w:pPr>
        <w:spacing w:after="0" w:before="120"/>
      </w:pPr>
      <w:r>
        <w:t xml:space="preserve"/>
      </w:r>
    </w:p>
    <w:p>
      <w:pPr>
        <w:pStyle w:val="Heading3"/>
        <w:spacing w:after="80" w:before="160"/>
      </w:pPr>
      <w:r>
        <w:rPr>
          <w:rFonts w:ascii="Arial" w:cs="Arial" w:eastAsia="Arial" w:hAnsi="Arial"/>
          <w:b/>
          <w:bCs/>
          <w:color w:val="2E75B6"/>
          <w:sz w:val="22"/>
          <w:szCs w:val="22"/>
        </w:rPr>
        <w:t xml:space="preserve">Error 2 (Systematic Slow Bias — Small Indian-Market Bikes) — Clutch/Launch Model Mismatch</w:t>
      </w:r>
    </w:p>
    <w:p>
      <w:r>
        <w:rPr>
          <w:rFonts w:ascii="Arial" w:cs="Arial" w:eastAsia="Arial" w:hAnsi="Arial"/>
          <w:b w:val="false"/>
          <w:bCs w:val="false"/>
          <w:i w:val="false"/>
          <w:iCs w:val="false"/>
          <w:color w:val="000000"/>
          <w:sz w:val="20"/>
          <w:szCs w:val="20"/>
        </w:rPr>
        <w:t xml:space="preserve">The clutch and launch model (ClutchParams) is parameterised with values derived from the GSX-R 1000 K5 reference: 1200N spring preload, 8 plates, launch_rpm = 0.55 × redline. These values are appropriate for a 200 hp superbike that must manage rear-wheel spin at launch. For a 34–50 hp parallel twin or single at 130–168 kg, the model is far too conservative: it simulates the clutch slipping excessively when in reality the rider can simply dump the clutch and accelerate.</w:t>
      </w:r>
    </w:p>
    <w:p>
      <w:pPr>
        <w:spacing w:after="60" w:before="60"/>
      </w:pPr>
      <w:r>
        <w:t xml:space="preserve"/>
      </w:r>
    </w:p>
    <w:p>
      <w:r>
        <w:rPr>
          <w:rFonts w:ascii="Arial" w:cs="Arial" w:eastAsia="Arial" w:hAnsi="Arial"/>
          <w:b w:val="false"/>
          <w:bCs w:val="false"/>
          <w:i w:val="false"/>
          <w:iCs w:val="false"/>
          <w:color w:val="000000"/>
          <w:sz w:val="20"/>
          <w:szCs w:val="20"/>
        </w:rPr>
        <w:t xml:space="preserve">The Ninja 400 in particular was also affected by a data quality bug (Ninja 300 gear data copied in error — now fixed), but even with correct gearing the clutch model produces a 60-foot time of ~3.4s versus a real-world ~2.4s. The remaining ~1s gap after all data fixes is attributable to the launch model alone.</w:t>
      </w:r>
    </w:p>
    <w:p>
      <w:pPr>
        <w:spacing w:after="60" w:before="60"/>
      </w:pPr>
      <w:r>
        <w:t xml:space="preserve"/>
      </w:r>
    </w:p>
    <w:p>
      <w:r>
        <w:rPr>
          <w:rFonts w:ascii="Arial" w:cs="Arial" w:eastAsia="Arial" w:hAnsi="Arial"/>
          <w:b w:val="false"/>
          <w:bCs w:val="false"/>
          <w:i w:val="false"/>
          <w:iCs w:val="false"/>
          <w:color w:val="000000"/>
          <w:sz w:val="20"/>
          <w:szCs w:val="20"/>
        </w:rPr>
        <w:t xml:space="preserve">Recommended fix: Add category-dependent clutch defaults in spec_to_bike_config() — lower spring preload (~400N), lower launch_rpm (3000–4500 rpm for &lt;500cc bikes), and a displacement-scaled slipper_ratio. This is a non-trivial model change requiring calibration against real Indian-market drag results.</w:t>
      </w:r>
    </w:p>
    <w:p>
      <w:pPr>
        <w:spacing w:after="0" w:before="120"/>
      </w:pPr>
      <w:r>
        <w:t xml:space="preserve"/>
      </w:r>
    </w:p>
    <w:p>
      <w:pPr>
        <w:pStyle w:val="Heading3"/>
        <w:spacing w:after="80" w:before="160"/>
      </w:pPr>
      <w:r>
        <w:rPr>
          <w:rFonts w:ascii="Arial" w:cs="Arial" w:eastAsia="Arial" w:hAnsi="Arial"/>
          <w:b/>
          <w:bCs/>
          <w:color w:val="2E75B6"/>
          <w:sz w:val="22"/>
          <w:szCs w:val="22"/>
        </w:rPr>
        <w:t xml:space="preserve">Error 3 (Trap Speed Systematically High) — Rider Aero Body Not Modelled</w:t>
      </w:r>
    </w:p>
    <w:p>
      <w:r>
        <w:rPr>
          <w:rFonts w:ascii="Arial" w:cs="Arial" w:eastAsia="Arial" w:hAnsi="Arial"/>
          <w:b w:val="false"/>
          <w:bCs w:val="false"/>
          <w:i w:val="false"/>
          <w:iCs w:val="false"/>
          <w:color w:val="000000"/>
          <w:sz w:val="20"/>
          <w:szCs w:val="20"/>
        </w:rPr>
        <w:t xml:space="preserve">Trap speeds are consistently 25–40 km/h too high for superbikes (250 km/h sim vs. 215–222 km/h real). The aero model applies the bike's Cd and frontal area but does not add the rider's aerodynamic contribution. In reality, at 220 km/h the rider's torso, helmet, and arms in a road-racing tuck position add approximately +0.06–0.12 m² to the effective CdA.</w:t>
      </w:r>
    </w:p>
    <w:p>
      <w:pPr>
        <w:spacing w:after="60" w:before="60"/>
      </w:pPr>
      <w:r>
        <w:t xml:space="preserve"/>
      </w:r>
    </w:p>
    <w:p>
      <w:r>
        <w:rPr>
          <w:rFonts w:ascii="Arial" w:cs="Arial" w:eastAsia="Arial" w:hAnsi="Arial"/>
          <w:b w:val="false"/>
          <w:bCs w:val="false"/>
          <w:i w:val="false"/>
          <w:iCs w:val="false"/>
          <w:color w:val="000000"/>
          <w:sz w:val="20"/>
          <w:szCs w:val="20"/>
        </w:rPr>
        <w:t xml:space="preserve">This is partly masked in ET (a bike that goes too fast also crosses the quarter mile marker earlier), but the trap-speed discrepancy shows clearly. Additionally, real-world traction control (TC) limits hard acceleration above 150 km/h on modern superbikes — the simulation has no TC model, which further contributes to both the fast ET bias and the high trap speed.</w:t>
      </w:r>
    </w:p>
    <w:p>
      <w:pPr>
        <w:spacing w:after="60" w:before="60"/>
      </w:pPr>
      <w:r>
        <w:t xml:space="preserve"/>
      </w:r>
    </w:p>
    <w:p>
      <w:r>
        <w:rPr>
          <w:rFonts w:ascii="Arial" w:cs="Arial" w:eastAsia="Arial" w:hAnsi="Arial"/>
          <w:b w:val="false"/>
          <w:bCs w:val="false"/>
          <w:i w:val="false"/>
          <w:iCs w:val="false"/>
          <w:color w:val="000000"/>
          <w:sz w:val="20"/>
          <w:szCs w:val="20"/>
        </w:rPr>
        <w:t xml:space="preserve">Recommended fix: Add a rider body aero contribution (+0.08 m² CdA for sport, +0.12 for naked/upright) in spec_to_bike_config(). A simplified TC model (power cut above x% of theoretical max wheel slip) could also bring trap speeds closer to real-world values.</w:t>
      </w:r>
    </w:p>
    <w:p>
      <w:pPr>
        <w:spacing w:after="0" w:before="12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Fixes Applied This Session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000"/>
        <w:gridCol w:w="2240"/>
        <w:gridCol w:w="324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File</w:t>
            </w:r>
          </w:p>
        </w:tc>
        <w:tc>
          <w:tcPr>
            <w:tcW w:type="dxa" w:w="30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What Changed</w:t>
            </w:r>
          </w:p>
        </w:tc>
        <w:tc>
          <w:tcPr>
            <w:tcW w:type="dxa" w:w="30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Root Cause Fixed</w:t>
            </w:r>
          </w:p>
        </w:tc>
        <w:tc>
          <w:tcPr>
            <w:tcW w:type="dxa" w:w="224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ET Impact</w:t>
            </w:r>
          </w:p>
        </w:tc>
        <w:tc>
          <w:tcPr>
            <w:tcW w:type="dxa" w:w="324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Validation Status</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7"/>
                <w:szCs w:val="17"/>
              </w:rPr>
              <w:t xml:space="preserve">known_bikes.py
gear_ratios.py</w:t>
            </w:r>
          </w:p>
        </w:tc>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Kawasaki Ninja 400 (2018): gear ratios corrected from Ninja 300 copy-paste to service-manual data [2.846, 2.071, 1.700, 1.441, 1.241, 1.107], primary_ratio = 3.082, sprockets 15T/46T. Power corrected to 44.8 hp wheel (was 49.2 crank), torque to 38.5 Nm.</w:t>
            </w:r>
          </w:p>
        </w:tc>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Ninja 300 gear data copy-paste; wrong sprockets; wrong primary ratio; crank HP used as wheel HP.</w:t>
            </w:r>
          </w:p>
        </w:tc>
        <w:tc>
          <w:tcPr>
            <w:tcW w:type="dxa" w:w="224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Data now correct. Remaining gap is clutch model limitation (Error 2).</w:t>
            </w:r>
          </w:p>
        </w:tc>
        <w:tc>
          <w:tcPr>
            <w:tcW w:type="dxa" w:w="3240"/>
            <w:tcBorders>
              <w:top w:val="single" w:color="E2EFDA" w:sz="4"/>
              <w:left w:val="single" w:color="E2EFDA" w:sz="4"/>
              <w:bottom w:val="single" w:color="E2EFDA" w:sz="4"/>
              <w:right w:val="single" w:color="E2EFDA" w:sz="4"/>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75623"/>
                <w:sz w:val="17"/>
                <w:szCs w:val="17"/>
              </w:rPr>
              <w:t xml:space="preserve">162 existing tests pass. No regressions.</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7"/>
                <w:szCs w:val="17"/>
              </w:rPr>
              <w:t xml:space="preserve">importer.py</w:t>
            </w:r>
          </w:p>
        </w:tc>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Redline RPM formula changed from flat 1.08× to displacement-/cylinder-based factors: &lt;500cc ≤2-cyl → 1.30×; &lt;700cc ≤2-cyl → 1.22×; &lt;700cc inline-4 → 1.14×; ≥1000cc → 1.10×</w:t>
            </w:r>
          </w:p>
        </w:tc>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Flat 1.08× gave Ninja 400 a redline of 10,800 rpm (cap at 119 km/h in 6th) vs. real ~13,000 rpm (cap 143+ km/h). Similar errors for KTM 390, Dominar, Apache.</w:t>
            </w:r>
          </w:p>
        </w:tc>
        <w:tc>
          <w:tcPr>
            <w:tcW w:type="dxa" w:w="224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KTM 390 Duke: delta improved from +0.40s to +0.26s. MT-07 within ±0.2s.</w:t>
            </w:r>
          </w:p>
        </w:tc>
        <w:tc>
          <w:tcPr>
            <w:tcW w:type="dxa" w:w="3240"/>
            <w:tcBorders>
              <w:top w:val="single" w:color="E2EFDA" w:sz="4"/>
              <w:left w:val="single" w:color="E2EFDA" w:sz="4"/>
              <w:bottom w:val="single" w:color="E2EFDA" w:sz="4"/>
              <w:right w:val="single" w:color="E2EFDA" w:sz="4"/>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75623"/>
                <w:sz w:val="17"/>
                <w:szCs w:val="17"/>
              </w:rPr>
              <w:t xml:space="preserve">162 existing tests pass. Redline test assertions still satisfied (ratio &gt; 1.0× still holds; launch fraction 0.55 unchanged).</w:t>
            </w:r>
          </w:p>
        </w:tc>
      </w:tr>
    </w:tbl>
    <w:p>
      <w:pPr>
        <w:spacing w:after="0" w:before="12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Outstanding Issues &amp; Roadmap</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600"/>
        <w:gridCol w:w="3000"/>
        <w:gridCol w:w="3580"/>
      </w:tblGrid>
      <w:tr>
        <w:trPr>
          <w:tblHeader/>
        </w:trPr>
        <w:tc>
          <w:tcPr>
            <w:tcW w:type="dxa" w:w="30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Issue</w:t>
            </w:r>
          </w:p>
        </w:tc>
        <w:tc>
          <w:tcPr>
            <w:tcW w:type="dxa" w:w="15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Priority</w:t>
            </w:r>
          </w:p>
        </w:tc>
        <w:tc>
          <w:tcPr>
            <w:tcW w:type="dxa" w:w="26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Bikes Affected</w:t>
            </w:r>
          </w:p>
        </w:tc>
        <w:tc>
          <w:tcPr>
            <w:tcW w:type="dxa" w:w="30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Expected ET Improvement</w:t>
            </w:r>
          </w:p>
        </w:tc>
        <w:tc>
          <w:tcPr>
            <w:tcW w:type="dxa" w:w="358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Implementation Complexity</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Apply drivetrain efficiency (86–87%) to crank-HP known_bikes entries</w:t>
            </w:r>
          </w:p>
        </w:tc>
        <w:tc>
          <w:tcPr>
            <w:tcW w:type="dxa" w:w="1500"/>
            <w:tcBorders>
              <w:top w:val="single" w:color="FFC7CE" w:sz="4"/>
              <w:left w:val="single" w:color="FFC7CE" w:sz="4"/>
              <w:bottom w:val="single" w:color="FFC7CE" w:sz="4"/>
              <w:right w:val="single" w:color="FFC7CE" w:sz="4"/>
            </w:tcBorders>
            <w:shd w:fill="FFC7CE" w:val="clear"/>
            <w:tcMar>
              <w:top w:type="dxa" w:w="60"/>
              <w:left w:type="dxa" w:w="100"/>
              <w:bottom w:type="dxa" w:w="60"/>
              <w:right w:type="dxa" w:w="100"/>
            </w:tcMar>
            <w:vAlign w:val="center"/>
          </w:tcPr>
          <w:p>
            <w:pPr>
              <w:jc w:val="center"/>
            </w:pPr>
            <w:r>
              <w:rPr>
                <w:rFonts w:ascii="Arial" w:cs="Arial" w:eastAsia="Arial" w:hAnsi="Arial"/>
                <w:b/>
                <w:bCs/>
                <w:i w:val="false"/>
                <w:iCs w:val="false"/>
                <w:color w:val="9C0006"/>
                <w:sz w:val="17"/>
                <w:szCs w:val="17"/>
              </w:rPr>
              <w:t xml:space="preserve">HIGH</w:t>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All 78 sport/superbike known_bikes entries</w:t>
            </w:r>
          </w:p>
        </w:tc>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Moves ~10 superbikes from ❌ or 🟠 into ✅ or 🟡 band</w:t>
            </w:r>
          </w:p>
        </w:tc>
        <w:tc>
          <w:tcPr>
            <w:tcW w:type="dxa" w:w="35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Low — add efficiency factor in _build_engine_from_spec()</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Category-specific ClutchParams for small-displacement bikes</w:t>
            </w:r>
          </w:p>
        </w:tc>
        <w:tc>
          <w:tcPr>
            <w:tcW w:type="dxa" w:w="1500"/>
            <w:tcBorders>
              <w:top w:val="single" w:color="FFC7CE" w:sz="4"/>
              <w:left w:val="single" w:color="FFC7CE" w:sz="4"/>
              <w:bottom w:val="single" w:color="FFC7CE" w:sz="4"/>
              <w:right w:val="single" w:color="FFC7CE" w:sz="4"/>
            </w:tcBorders>
            <w:shd w:fill="FFC7CE" w:val="clear"/>
            <w:tcMar>
              <w:top w:type="dxa" w:w="60"/>
              <w:left w:type="dxa" w:w="100"/>
              <w:bottom w:type="dxa" w:w="60"/>
              <w:right w:type="dxa" w:w="100"/>
            </w:tcMar>
            <w:vAlign w:val="center"/>
          </w:tcPr>
          <w:p>
            <w:pPr>
              <w:jc w:val="center"/>
            </w:pPr>
            <w:r>
              <w:rPr>
                <w:rFonts w:ascii="Arial" w:cs="Arial" w:eastAsia="Arial" w:hAnsi="Arial"/>
                <w:b/>
                <w:bCs/>
                <w:i w:val="false"/>
                <w:iCs w:val="false"/>
                <w:color w:val="9C0006"/>
                <w:sz w:val="17"/>
                <w:szCs w:val="17"/>
              </w:rPr>
              <w:t xml:space="preserve">HIGH</w:t>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All ≤500cc singles/twins: KTM 390, Ninja 400, Dominar, Apache, Hero, etc.</w:t>
            </w:r>
          </w:p>
        </w:tc>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Could bring Indian market bikes from ❌ toward ±0.2s band</w:t>
            </w:r>
          </w:p>
        </w:tc>
        <w:tc>
          <w:tcPr>
            <w:tcW w:type="dxa" w:w="35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Medium — requires calibration data from real Indian drag runs</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Rider body CdA contribution (+0.06–0.12 m²)</w:t>
            </w:r>
          </w:p>
        </w:tc>
        <w:tc>
          <w:tcPr>
            <w:tcW w:type="dxa" w:w="1500"/>
            <w:tcBorders>
              <w:top w:val="single" w:color="FFEB9C" w:sz="4"/>
              <w:left w:val="single" w:color="FFEB9C" w:sz="4"/>
              <w:bottom w:val="single" w:color="FFEB9C" w:sz="4"/>
              <w:right w:val="single" w:color="FFEB9C" w:sz="4"/>
            </w:tcBorders>
            <w:shd w:fill="FFEB9C" w:val="clear"/>
            <w:tcMar>
              <w:top w:type="dxa" w:w="60"/>
              <w:left w:type="dxa" w:w="100"/>
              <w:bottom w:type="dxa" w:w="60"/>
              <w:right w:type="dxa" w:w="100"/>
            </w:tcMar>
            <w:vAlign w:val="center"/>
          </w:tcPr>
          <w:p>
            <w:pPr>
              <w:jc w:val="center"/>
            </w:pPr>
            <w:r>
              <w:rPr>
                <w:rFonts w:ascii="Arial" w:cs="Arial" w:eastAsia="Arial" w:hAnsi="Arial"/>
                <w:b/>
                <w:bCs/>
                <w:i w:val="false"/>
                <w:iCs w:val="false"/>
                <w:color w:val="7F6000"/>
                <w:sz w:val="17"/>
                <w:szCs w:val="17"/>
              </w:rPr>
              <w:t xml:space="preserve">MEDIUM</w:t>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All bikes — reduces trap speed overestimation (sim shows 30–40 km/h too high)</w:t>
            </w:r>
          </w:p>
        </w:tc>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Trap speed accuracy: +15–25 km/h closer to real. Minor ET benefit.</w:t>
            </w:r>
          </w:p>
        </w:tc>
        <w:tc>
          <w:tcPr>
            <w:tcW w:type="dxa" w:w="35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Low — add rider_cda_contribution field to AeroParams, default by category</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Ducati L-twin synthetic torque curve (1199/1299/V2/SF V4)</w:t>
            </w:r>
          </w:p>
        </w:tc>
        <w:tc>
          <w:tcPr>
            <w:tcW w:type="dxa" w:w="1500"/>
            <w:tcBorders>
              <w:top w:val="single" w:color="FFEB9C" w:sz="4"/>
              <w:left w:val="single" w:color="FFEB9C" w:sz="4"/>
              <w:bottom w:val="single" w:color="FFEB9C" w:sz="4"/>
              <w:right w:val="single" w:color="FFEB9C" w:sz="4"/>
            </w:tcBorders>
            <w:shd w:fill="FFEB9C" w:val="clear"/>
            <w:tcMar>
              <w:top w:type="dxa" w:w="60"/>
              <w:left w:type="dxa" w:w="100"/>
              <w:bottom w:type="dxa" w:w="60"/>
              <w:right w:type="dxa" w:w="100"/>
            </w:tcMar>
            <w:vAlign w:val="center"/>
          </w:tcPr>
          <w:p>
            <w:pPr>
              <w:jc w:val="center"/>
            </w:pPr>
            <w:r>
              <w:rPr>
                <w:rFonts w:ascii="Arial" w:cs="Arial" w:eastAsia="Arial" w:hAnsi="Arial"/>
                <w:b/>
                <w:bCs/>
                <w:i w:val="false"/>
                <w:iCs w:val="false"/>
                <w:color w:val="7F6000"/>
                <w:sz w:val="17"/>
                <w:szCs w:val="17"/>
              </w:rPr>
              <w:t xml:space="preserve">MEDIUM</w:t>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4 Ducati L-twin/V4 bikes (0.38–0.57s fast)</w:t>
            </w:r>
          </w:p>
        </w:tc>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~0.3–0.4s improvement if L-twin torque curve is corrected</w:t>
            </w:r>
          </w:p>
        </w:tc>
        <w:tc>
          <w:tcPr>
            <w:tcW w:type="dxa" w:w="35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Medium — needs L-twin dyno curve shape; add engine_type field to EngineParams</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Simplified TC (traction control) model for modern superbikes (2015+)</w:t>
            </w:r>
          </w:p>
        </w:tc>
        <w:tc>
          <w:tcPr>
            <w:tcW w:type="dxa" w:w="1500"/>
            <w:tcBorders>
              <w:top w:val="single" w:color="E2EFDA" w:sz="4"/>
              <w:left w:val="single" w:color="E2EFDA" w:sz="4"/>
              <w:bottom w:val="single" w:color="E2EFDA" w:sz="4"/>
              <w:right w:val="single" w:color="E2EFDA" w:sz="4"/>
            </w:tcBorders>
            <w:shd w:fill="E2EFDA" w:val="clear"/>
            <w:tcMar>
              <w:top w:type="dxa" w:w="60"/>
              <w:left w:type="dxa" w:w="100"/>
              <w:bottom w:type="dxa" w:w="60"/>
              <w:right w:type="dxa" w:w="100"/>
            </w:tcMar>
            <w:vAlign w:val="center"/>
          </w:tcPr>
          <w:p>
            <w:pPr>
              <w:jc w:val="center"/>
            </w:pPr>
            <w:r>
              <w:rPr>
                <w:rFonts w:ascii="Arial" w:cs="Arial" w:eastAsia="Arial" w:hAnsi="Arial"/>
                <w:b/>
                <w:bCs/>
                <w:i w:val="false"/>
                <w:iCs w:val="false"/>
                <w:color w:val="375623"/>
                <w:sz w:val="17"/>
                <w:szCs w:val="17"/>
              </w:rPr>
              <w:t xml:space="preserve">LOW</w:t>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All 2015+ superbikes with advanced TC</w:t>
            </w:r>
          </w:p>
        </w:tc>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Further reduces fast bias by ~0.05–0.10s for high-power bikes</w:t>
            </w:r>
          </w:p>
        </w:tc>
        <w:tc>
          <w:tcPr>
            <w:tcW w:type="dxa" w:w="35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High — requires TC activation curve modeling</w:t>
            </w:r>
          </w:p>
        </w:tc>
      </w:tr>
    </w:tbl>
    <w:p>
      <w:pPr>
        <w:spacing w:after="0" w:before="12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Conclusion</w:t>
      </w:r>
    </w:p>
    <w:p>
      <w:r>
        <w:rPr>
          <w:rFonts w:ascii="Arial" w:cs="Arial" w:eastAsia="Arial" w:hAnsi="Arial"/>
          <w:b w:val="false"/>
          <w:bCs w:val="false"/>
          <w:i w:val="false"/>
          <w:iCs w:val="false"/>
          <w:color w:val="000000"/>
          <w:sz w:val="20"/>
          <w:szCs w:val="20"/>
        </w:rPr>
        <w:t xml:space="preserve">The MotoQuant Pro physics engine demonstrates strong fundamentals: 55% of the 33-bike test set falls within ±0.20s of reference, and the systematic biases identified have clear, addressable root causes. The engine performs best on mid-range sport bikes and hypersport classes, where it achieves ≥75% accuracy within ±0.20s.</w:t>
      </w:r>
    </w:p>
    <w:p>
      <w:pPr>
        <w:spacing w:after="80" w:before="80"/>
      </w:pPr>
      <w:r>
        <w:t xml:space="preserve"/>
      </w:r>
    </w:p>
    <w:p>
      <w:r>
        <w:rPr>
          <w:rFonts w:ascii="Arial" w:cs="Arial" w:eastAsia="Arial" w:hAnsi="Arial"/>
          <w:b w:val="false"/>
          <w:bCs w:val="false"/>
          <w:i w:val="false"/>
          <w:iCs w:val="false"/>
          <w:color w:val="000000"/>
          <w:sz w:val="20"/>
          <w:szCs w:val="20"/>
        </w:rPr>
        <w:t xml:space="preserve">The two highest-priority fixes — applying a drivetrain efficiency factor to crank-HP catalog entries, and tuning the clutch/launch model for small-displacement bikes — are both well-defined engineering tasks that can be implemented without changes to the core physics solver. Together they are expected to raise the ±0.20s coverage from 55% to approximately 75–80% of the validated set.</w:t>
      </w:r>
    </w:p>
    <w:p>
      <w:pPr>
        <w:spacing w:after="80" w:before="80"/>
      </w:pPr>
      <w:r>
        <w:t xml:space="preserve"/>
      </w:r>
    </w:p>
    <w:p>
      <w:r>
        <w:rPr>
          <w:rFonts w:ascii="Arial" w:cs="Arial" w:eastAsia="Arial" w:hAnsi="Arial"/>
          <w:b w:val="false"/>
          <w:bCs w:val="false"/>
          <w:i w:val="false"/>
          <w:iCs w:val="false"/>
          <w:color w:val="000000"/>
          <w:sz w:val="20"/>
          <w:szCs w:val="20"/>
        </w:rPr>
        <w:t xml:space="preserve">The three original validation benchmarks (K5, R1, Hayabusa) remain passing and are unaffected by this session's changes. The 50k surrogate model training data (generated from defaults.py BikeConfig objects, not from the known_bikes catalog) is also unaffected and does not need to be regenerated.</w:t>
      </w:r>
    </w:p>
    <w:p>
      <w:pPr>
        <w:spacing w:after="0" w:before="120"/>
      </w:pPr>
      <w:r>
        <w:t xml:space="preserve"/>
      </w:r>
    </w:p>
    <w:p>
      <w:pPr>
        <w:pBdr>
          <w:top w:val="single" w:color="D9D9D9" w:sz="4" w:space="1"/>
        </w:pBdr>
        <w:spacing w:after="0" w:before="80"/>
      </w:pPr>
      <w:r>
        <w:rPr>
          <w:rFonts w:ascii="Arial" w:cs="Arial" w:eastAsia="Arial" w:hAnsi="Arial"/>
          <w:i/>
          <w:iCs/>
          <w:color w:val="595959"/>
          <w:sz w:val="16"/>
          <w:szCs w:val="16"/>
        </w:rPr>
        <w:t xml:space="preserve">Validation run: April 15, 2026  |  Engine: MotoQuant Pro v4B  |  Conditions: ISA (15 °C, 101.325 kPa, DA 0 m, 75 kg rider)  |  Test suite: 565 passing</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13680"/>
      </w:tabs>
    </w:pPr>
    <w:r>
      <w:rPr>
        <w:rFonts w:ascii="Arial" w:cs="Arial" w:eastAsia="Arial" w:hAnsi="Arial"/>
        <w:i/>
        <w:iCs/>
        <w:color w:val="595959"/>
        <w:sz w:val="16"/>
        <w:szCs w:val="16"/>
      </w:rPr>
      <w:t xml:space="preserve">Confidential — Internal Calibration Document</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13680"/>
      </w:tabs>
    </w:pPr>
    <w:r>
      <w:rPr>
        <w:rFonts w:ascii="Arial" w:cs="Arial" w:eastAsia="Arial" w:hAnsi="Arial"/>
        <w:b/>
        <w:bCs/>
        <w:color w:val="1F4E79"/>
        <w:sz w:val="18"/>
        <w:szCs w:val="18"/>
      </w:rPr>
      <w:t xml:space="preserve">MotoQuant Pro  |  Physics Engine Validation Report</w:t>
    </w:r>
    <w:r>
      <w:rPr>
        <w:rFonts w:ascii="Arial" w:cs="Arial" w:eastAsia="Arial" w:hAnsi="Arial"/>
        <w:color w:val="595959"/>
        <w:sz w:val="18"/>
        <w:szCs w:val="18"/>
      </w:rPr>
      <w:t xml:space="preserve">	April 15,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2026-04-14T22:35:35.328Z</dcterms:created>
  <dcterms:modified xsi:type="dcterms:W3CDTF">2026-04-14T22:35:35.329Z</dcterms:modified>
</cp:coreProperties>
</file>

<file path=docProps/custom.xml><?xml version="1.0" encoding="utf-8"?>
<Properties xmlns="http://schemas.openxmlformats.org/officeDocument/2006/custom-properties" xmlns:vt="http://schemas.openxmlformats.org/officeDocument/2006/docPropsVTypes"/>
</file>