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FAZENDA FUTURO</w:t>
      </w:r>
    </w:p>
    <w:p>
      <w:pPr>
        <w:spacing w:after="100"/>
        <w:jc w:val="center"/>
      </w:pPr>
      <w:r>
        <w:rPr>
          <w:rFonts w:ascii="Arial" w:cs="Arial" w:eastAsia="Arial" w:hAnsi="Arial"/>
          <w:color w:val="2E75B6"/>
          <w:sz w:val="32"/>
          <w:szCs w:val="32"/>
        </w:rPr>
        <w:t xml:space="preserve">(Future Farm)</w:t>
      </w:r>
    </w:p>
    <w:p>
      <w:pPr>
        <w:pBdr>
          <w:bottom w:val="single" w:color="2E75B6" w:sz="6" w:space="1"/>
        </w:pBdr>
        <w:spacing w:after="400"/>
        <w:jc w:val="center"/>
      </w:pPr>
    </w:p>
    <w:p>
      <w:pPr>
        <w:spacing w:after="100"/>
        <w:jc w:val="center"/>
      </w:pPr>
      <w:r>
        <w:rPr>
          <w:rFonts w:ascii="Arial" w:cs="Arial" w:eastAsia="Arial" w:hAnsi="Arial"/>
          <w:color w:val="333333"/>
          <w:sz w:val="28"/>
          <w:szCs w:val="28"/>
        </w:rPr>
        <w:t xml:space="preserve">Deep Research Report</w:t>
      </w:r>
    </w:p>
    <w:p>
      <w:pPr>
        <w:spacing w:after="100"/>
        <w:jc w:val="center"/>
      </w:pPr>
      <w:r>
        <w:rPr>
          <w:rFonts w:ascii="Arial" w:cs="Arial" w:eastAsia="Arial" w:hAnsi="Arial"/>
          <w:color w:val="666666"/>
          <w:sz w:val="22"/>
          <w:szCs w:val="22"/>
        </w:rPr>
        <w:t xml:space="preserve">Company Intelligence &amp; Financial Analysis</w:t>
      </w:r>
    </w:p>
    <w:p>
      <w:pPr>
        <w:spacing w:before="600" w:after="100"/>
        <w:jc w:val="center"/>
      </w:pPr>
      <w:r>
        <w:rPr>
          <w:rFonts w:ascii="Arial" w:cs="Arial" w:eastAsia="Arial" w:hAnsi="Arial"/>
          <w:color w:val="666666"/>
          <w:sz w:val="22"/>
          <w:szCs w:val="22"/>
        </w:rPr>
        <w:t xml:space="preserve">February 2026</w:t>
      </w:r>
    </w:p>
    <w:p>
      <w:pPr>
        <w:jc w:val="center"/>
      </w:pPr>
      <w:r>
        <w:rPr>
          <w:rFonts w:ascii="Arial" w:cs="Arial" w:eastAsia="Arial" w:hAnsi="Arial"/>
          <w:b/>
          <w:bCs/>
          <w:color w:val="C62828"/>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3A5C"/>
          <w:sz w:val="28"/>
          <w:szCs w:val="28"/>
        </w:rPr>
        <w:t xml:space="preserve">1. EXECUTIVE SUMMARY</w:t>
      </w:r>
    </w:p>
    <w:p>
      <w:pPr>
        <w:spacing w:after="120"/>
      </w:pPr>
      <w:r>
        <w:rPr>
          <w:rFonts w:ascii="Arial" w:cs="Arial" w:eastAsia="Arial" w:hAnsi="Arial"/>
          <w:b w:val="false"/>
          <w:bCs w:val="false"/>
          <w:i w:val="false"/>
          <w:iCs w:val="false"/>
          <w:color w:val="333333"/>
          <w:sz w:val="20"/>
          <w:szCs w:val="20"/>
        </w:rPr>
        <w:t xml:space="preserve">Fazenda Futuro (international brand: Future Farm) is Brazil's pioneering plant-based meat company, founded in 2019 by serial entrepreneurs Marcos Leta and Alfredo Strechinsky. After raising ~US$90M across three funding rounds and reaching a peak valuation of ~US$400M (R$2.2 billion) in 2021, the company underwent a major strategic pivot in 2024, retreating from aggressive international expansion to refocus on the Brazilian market.</w:t>
      </w:r>
    </w:p>
    <w:p>
      <w:pPr>
        <w:spacing w:after="120"/>
      </w:pPr>
      <w:r>
        <w:rPr>
          <w:rFonts w:ascii="Arial" w:cs="Arial" w:eastAsia="Arial" w:hAnsi="Arial"/>
          <w:b w:val="false"/>
          <w:bCs w:val="false"/>
          <w:i w:val="false"/>
          <w:iCs w:val="false"/>
          <w:color w:val="333333"/>
          <w:sz w:val="20"/>
          <w:szCs w:val="20"/>
        </w:rPr>
        <w:t xml:space="preserve">This report compiles all publicly available data on the company's strategy, operations, financials, competitive position, and current status.</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3"/>
              <w:left w:val="none" w:sz="0"/>
              <w:bottom w:val="none" w:sz="0"/>
              <w:right w:val="none" w:sz="0"/>
            </w:tcBorders>
            <w:shd w:fill="D5E8F0" w:val="clear"/>
            <w:tcMar>
              <w:top w:type="dxa" w:w="120"/>
              <w:left w:type="dxa" w:w="150"/>
              <w:bottom w:type="dxa" w:w="120"/>
              <w:right w:type="dxa" w:w="150"/>
            </w:tcMar>
          </w:tcPr>
          <w:p>
            <w:pPr>
              <w:jc w:val="center"/>
            </w:pPr>
            <w:r>
              <w:rPr>
                <w:rFonts w:ascii="Arial" w:cs="Arial" w:eastAsia="Arial" w:hAnsi="Arial"/>
                <w:b/>
                <w:bCs/>
                <w:color w:val="1B3A5C"/>
                <w:sz w:val="28"/>
                <w:szCs w:val="28"/>
              </w:rPr>
              <w:t xml:space="preserve">~US$90M</w:t>
            </w:r>
          </w:p>
          <w:p>
            <w:pPr>
              <w:spacing w:before="40"/>
              <w:jc w:val="center"/>
            </w:pPr>
            <w:r>
              <w:rPr>
                <w:rFonts w:ascii="Arial" w:cs="Arial" w:eastAsia="Arial" w:hAnsi="Arial"/>
                <w:color w:val="666666"/>
                <w:sz w:val="16"/>
                <w:szCs w:val="16"/>
              </w:rPr>
              <w:t xml:space="preserve">Total Funding Raised</w:t>
            </w:r>
          </w:p>
        </w:tc>
        <w:tc>
          <w:tcPr>
            <w:tcW w:type="dxa" w:w="2340"/>
            <w:tcBorders>
              <w:top w:val="single" w:color="2E75B6" w:sz="3"/>
              <w:left w:val="none" w:sz="0"/>
              <w:bottom w:val="none" w:sz="0"/>
              <w:right w:val="none" w:sz="0"/>
            </w:tcBorders>
            <w:shd w:fill="D5E8F0" w:val="clear"/>
            <w:tcMar>
              <w:top w:type="dxa" w:w="120"/>
              <w:left w:type="dxa" w:w="150"/>
              <w:bottom w:type="dxa" w:w="120"/>
              <w:right w:type="dxa" w:w="150"/>
            </w:tcMar>
          </w:tcPr>
          <w:p>
            <w:pPr>
              <w:jc w:val="center"/>
            </w:pPr>
            <w:r>
              <w:rPr>
                <w:rFonts w:ascii="Arial" w:cs="Arial" w:eastAsia="Arial" w:hAnsi="Arial"/>
                <w:b/>
                <w:bCs/>
                <w:color w:val="1B3A5C"/>
                <w:sz w:val="28"/>
                <w:szCs w:val="28"/>
              </w:rPr>
              <w:t xml:space="preserve">~US$400M</w:t>
            </w:r>
          </w:p>
          <w:p>
            <w:pPr>
              <w:spacing w:before="40"/>
              <w:jc w:val="center"/>
            </w:pPr>
            <w:r>
              <w:rPr>
                <w:rFonts w:ascii="Arial" w:cs="Arial" w:eastAsia="Arial" w:hAnsi="Arial"/>
                <w:color w:val="666666"/>
                <w:sz w:val="16"/>
                <w:szCs w:val="16"/>
              </w:rPr>
              <w:t xml:space="preserve">Peak Valuation (2021)</w:t>
            </w:r>
          </w:p>
        </w:tc>
        <w:tc>
          <w:tcPr>
            <w:tcW w:type="dxa" w:w="2340"/>
            <w:tcBorders>
              <w:top w:val="single" w:color="2E75B6" w:sz="3"/>
              <w:left w:val="none" w:sz="0"/>
              <w:bottom w:val="none" w:sz="0"/>
              <w:right w:val="none" w:sz="0"/>
            </w:tcBorders>
            <w:shd w:fill="D5E8F0" w:val="clear"/>
            <w:tcMar>
              <w:top w:type="dxa" w:w="120"/>
              <w:left w:type="dxa" w:w="150"/>
              <w:bottom w:type="dxa" w:w="120"/>
              <w:right w:type="dxa" w:w="150"/>
            </w:tcMar>
          </w:tcPr>
          <w:p>
            <w:pPr>
              <w:jc w:val="center"/>
            </w:pPr>
            <w:r>
              <w:rPr>
                <w:rFonts w:ascii="Arial" w:cs="Arial" w:eastAsia="Arial" w:hAnsi="Arial"/>
                <w:b/>
                <w:bCs/>
                <w:color w:val="1B3A5C"/>
                <w:sz w:val="28"/>
                <w:szCs w:val="28"/>
              </w:rPr>
              <w:t xml:space="preserve">20,000</w:t>
            </w:r>
          </w:p>
          <w:p>
            <w:pPr>
              <w:spacing w:before="40"/>
              <w:jc w:val="center"/>
            </w:pPr>
            <w:r>
              <w:rPr>
                <w:rFonts w:ascii="Arial" w:cs="Arial" w:eastAsia="Arial" w:hAnsi="Arial"/>
                <w:color w:val="666666"/>
                <w:sz w:val="16"/>
                <w:szCs w:val="16"/>
              </w:rPr>
              <w:t xml:space="preserve">Retail Points (Brazil)</w:t>
            </w:r>
          </w:p>
        </w:tc>
        <w:tc>
          <w:tcPr>
            <w:tcW w:type="dxa" w:w="2340"/>
            <w:tcBorders>
              <w:top w:val="single" w:color="2E75B6" w:sz="3"/>
              <w:left w:val="none" w:sz="0"/>
              <w:bottom w:val="none" w:sz="0"/>
              <w:right w:val="none" w:sz="0"/>
            </w:tcBorders>
            <w:shd w:fill="D5E8F0" w:val="clear"/>
            <w:tcMar>
              <w:top w:type="dxa" w:w="120"/>
              <w:left w:type="dxa" w:w="150"/>
              <w:bottom w:type="dxa" w:w="120"/>
              <w:right w:type="dxa" w:w="150"/>
            </w:tcMar>
          </w:tcPr>
          <w:p>
            <w:pPr>
              <w:jc w:val="center"/>
            </w:pPr>
            <w:r>
              <w:rPr>
                <w:rFonts w:ascii="Arial" w:cs="Arial" w:eastAsia="Arial" w:hAnsi="Arial"/>
                <w:b/>
                <w:bCs/>
                <w:color w:val="1B3A5C"/>
                <w:sz w:val="28"/>
                <w:szCs w:val="28"/>
              </w:rPr>
              <w:t xml:space="preserve">2019</w:t>
            </w:r>
          </w:p>
          <w:p>
            <w:pPr>
              <w:spacing w:before="40"/>
              <w:jc w:val="center"/>
            </w:pPr>
            <w:r>
              <w:rPr>
                <w:rFonts w:ascii="Arial" w:cs="Arial" w:eastAsia="Arial" w:hAnsi="Arial"/>
                <w:color w:val="666666"/>
                <w:sz w:val="16"/>
                <w:szCs w:val="16"/>
              </w:rPr>
              <w:t xml:space="preserve">Year Founded</w:t>
            </w:r>
          </w:p>
        </w:tc>
      </w:tr>
    </w:tbl>
    <w:p>
      <w:pPr>
        <w:spacing w:after="200"/>
      </w:pPr>
    </w:p>
    <w:p>
      <w:pPr>
        <w:pStyle w:val="Heading1"/>
        <w:spacing w:before="400" w:after="200"/>
      </w:pPr>
      <w:r>
        <w:rPr>
          <w:rFonts w:ascii="Arial" w:cs="Arial" w:eastAsia="Arial" w:hAnsi="Arial"/>
          <w:b/>
          <w:bCs/>
          <w:color w:val="1B3A5C"/>
          <w:sz w:val="28"/>
          <w:szCs w:val="28"/>
        </w:rPr>
        <w:t xml:space="preserve">2. COMPANY OVERVIEW</w:t>
      </w:r>
    </w:p>
    <w:p>
      <w:pPr>
        <w:pStyle w:val="Heading2"/>
        <w:spacing w:before="300" w:after="150"/>
      </w:pPr>
      <w:r>
        <w:rPr>
          <w:rFonts w:ascii="Arial" w:cs="Arial" w:eastAsia="Arial" w:hAnsi="Arial"/>
          <w:b/>
          <w:bCs/>
          <w:color w:val="2E75B6"/>
          <w:sz w:val="24"/>
          <w:szCs w:val="24"/>
        </w:rPr>
        <w:t xml:space="preserve">2.1 Identity &amp;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Legal Name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Fazenda Futuro Produtos Alimentícios S.A.</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International Brand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Future Farm</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Founded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2019 (development began 2017)</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Founders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Marcos Leta (CEO) &amp; Alfredo Strechinsky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HQ</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Rio de Janeiro, Brazil</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Factory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Volta Redonda, RJ (600-700 tons/month)</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Employees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~150-235 (reduced after 2024 restructuring)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Website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fazendafuturo.io / futurefarm.io</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Instagram</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@fazendafuturo (375K followers, 1,460 posts)</w:t>
            </w:r>
          </w:p>
        </w:tc>
      </w:tr>
    </w:tbl>
    <w:p>
      <w:pPr>
        <w:spacing w:after="100"/>
      </w:pPr>
    </w:p>
    <w:p>
      <w:pPr>
        <w:pStyle w:val="Heading2"/>
        <w:spacing w:before="300" w:after="150"/>
      </w:pPr>
      <w:r>
        <w:rPr>
          <w:rFonts w:ascii="Arial" w:cs="Arial" w:eastAsia="Arial" w:hAnsi="Arial"/>
          <w:b/>
          <w:bCs/>
          <w:color w:val="2E75B6"/>
          <w:sz w:val="24"/>
          <w:szCs w:val="24"/>
        </w:rPr>
        <w:t xml:space="preserve">2.2 Founder Background</w:t>
      </w:r>
    </w:p>
    <w:p>
      <w:pPr>
        <w:spacing w:after="120"/>
      </w:pPr>
      <w:r>
        <w:rPr>
          <w:rFonts w:ascii="Arial" w:cs="Arial" w:eastAsia="Arial" w:hAnsi="Arial"/>
          <w:b w:val="false"/>
          <w:bCs w:val="false"/>
          <w:i w:val="false"/>
          <w:iCs w:val="false"/>
          <w:color w:val="333333"/>
          <w:sz w:val="20"/>
          <w:szCs w:val="20"/>
        </w:rPr>
        <w:t xml:space="preserve">Both founders previously created Do Bem, a premium natural juice company sold to AmBev (AB InBev subsidiary) in 2016. This entrepreneurial track record gave them both capital and consumer goods expertise to launch Fazenda Futuro.</w:t>
      </w:r>
    </w:p>
    <w:p>
      <w:pPr>
        <w:spacing w:after="120"/>
      </w:pPr>
      <w:r>
        <w:rPr>
          <w:rFonts w:ascii="Arial" w:cs="Arial" w:eastAsia="Arial" w:hAnsi="Arial"/>
          <w:b w:val="false"/>
          <w:bCs w:val="false"/>
          <w:i w:val="false"/>
          <w:iCs w:val="false"/>
          <w:color w:val="333333"/>
          <w:sz w:val="20"/>
          <w:szCs w:val="20"/>
        </w:rPr>
        <w:t xml:space="preserve">US operations were led by Alexandre Ruberti (former President of Red Bull Distribution Company USA, 16 years at Red Bull), hired as CEO of Future Farm USA to spearhead North American entry.</w:t>
      </w:r>
    </w:p>
    <w:p>
      <w:pPr>
        <w:pStyle w:val="Heading2"/>
        <w:spacing w:before="300" w:after="150"/>
      </w:pPr>
      <w:r>
        <w:rPr>
          <w:rFonts w:ascii="Arial" w:cs="Arial" w:eastAsia="Arial" w:hAnsi="Arial"/>
          <w:b/>
          <w:bCs/>
          <w:color w:val="2E75B6"/>
          <w:sz w:val="24"/>
          <w:szCs w:val="24"/>
        </w:rPr>
        <w:t xml:space="preserve">2.3 Mission &amp; Positioning</w:t>
      </w:r>
    </w:p>
    <w:p>
      <w:pPr>
        <w:spacing w:after="120"/>
      </w:pPr>
      <w:r>
        <w:rPr>
          <w:rFonts w:ascii="Arial" w:cs="Arial" w:eastAsia="Arial" w:hAnsi="Arial"/>
          <w:b w:val="false"/>
          <w:bCs w:val="false"/>
          <w:i w:val="false"/>
          <w:iCs w:val="false"/>
          <w:color w:val="333333"/>
          <w:sz w:val="20"/>
          <w:szCs w:val="20"/>
        </w:rPr>
        <w:t xml:space="preserve">"Mudando a forma como o mundo come" (Changing the way the world eats). The company positions itself as a technology-driven food company using AI to develop plant-based meat alternatives that replicate taste, texture, and succulence of animal protein. All products are GMO-free and gluten-free.</w:t>
      </w:r>
    </w:p>
    <w:p>
      <w:r>
        <w:br w:type="page"/>
      </w:r>
    </w:p>
    <w:p>
      <w:pPr>
        <w:pStyle w:val="Heading1"/>
        <w:spacing w:before="400" w:after="200"/>
      </w:pPr>
      <w:r>
        <w:rPr>
          <w:rFonts w:ascii="Arial" w:cs="Arial" w:eastAsia="Arial" w:hAnsi="Arial"/>
          <w:b/>
          <w:bCs/>
          <w:color w:val="1B3A5C"/>
          <w:sz w:val="28"/>
          <w:szCs w:val="28"/>
        </w:rPr>
        <w:t xml:space="preserve">3. PRODUCT PORTFOLIO</w:t>
      </w:r>
    </w:p>
    <w:p>
      <w:pPr>
        <w:pStyle w:val="Heading2"/>
        <w:spacing w:before="300" w:after="150"/>
      </w:pPr>
      <w:r>
        <w:rPr>
          <w:rFonts w:ascii="Arial" w:cs="Arial" w:eastAsia="Arial" w:hAnsi="Arial"/>
          <w:b/>
          <w:bCs/>
          <w:color w:val="2E75B6"/>
          <w:sz w:val="24"/>
          <w:szCs w:val="24"/>
        </w:rPr>
        <w:t xml:space="preserve">3.1 Current Product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Product</w:t>
            </w:r>
          </w:p>
        </w:tc>
        <w:tc>
          <w:tcPr>
            <w:tcW w:type="dxa" w:w="351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Details</w:t>
            </w:r>
          </w:p>
        </w:tc>
        <w:tc>
          <w:tcPr>
            <w:tcW w:type="dxa" w:w="351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Specs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Futuro Burger 4.0</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Flagship. Launched 2024 with True Texture Technology. Available 115g &amp; 230g.</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14g protein, 159 kcal, 4.7g carbs, 9.6g sat fat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Futuro Carne Moída</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Plant-based ground meat for versatile cooking</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Soy + pea protein blend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Futuro Almôndega</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Plant-based meatballs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Ready-to-cook format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Futuro Chicken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Plant-based chicken strips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Textured soy protein base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Futuro Linguíça</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Plant-based sausage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Brazilian-style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Futuro Tuna</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Plant-based canned fish (launched 2021)</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Novel category for Brazil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Futuro Aveia</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Oat milk line: Original, Chocolate, Vanilla, Cooking. 1L packs.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Launched 2024 at Pão de Açúcar, Carrefour</w:t>
            </w:r>
          </w:p>
        </w:tc>
      </w:tr>
    </w:tbl>
    <w:p>
      <w:pPr>
        <w:spacing w:after="100"/>
      </w:pPr>
    </w:p>
    <w:p>
      <w:pPr>
        <w:pStyle w:val="Heading2"/>
        <w:spacing w:before="300" w:after="150"/>
      </w:pPr>
      <w:r>
        <w:rPr>
          <w:rFonts w:ascii="Arial" w:cs="Arial" w:eastAsia="Arial" w:hAnsi="Arial"/>
          <w:b/>
          <w:bCs/>
          <w:color w:val="2E75B6"/>
          <w:sz w:val="24"/>
          <w:szCs w:val="24"/>
        </w:rPr>
        <w:t xml:space="preserve">3.2 Technology Differentiator</w:t>
      </w:r>
    </w:p>
    <w:p>
      <w:pPr>
        <w:spacing w:after="120"/>
      </w:pPr>
      <w:r>
        <w:rPr>
          <w:rFonts w:ascii="Arial" w:cs="Arial" w:eastAsia="Arial" w:hAnsi="Arial"/>
          <w:b w:val="false"/>
          <w:bCs w:val="false"/>
          <w:i w:val="false"/>
          <w:iCs w:val="false"/>
          <w:color w:val="333333"/>
          <w:sz w:val="20"/>
          <w:szCs w:val="20"/>
        </w:rPr>
        <w:t xml:space="preserve">True Texture Technology: An AI-powered system described as an "artificial tongue" that captures and replicates flavor profiles. Uses textured soy protein, isolated soy protein, pea protein, coconut fat, and beets (for iron/color). The Futuro Burger 4.0 represents 4 years of iterative development on this platform.</w:t>
      </w:r>
    </w:p>
    <w:p>
      <w:pPr>
        <w:pStyle w:val="Heading2"/>
        <w:spacing w:before="300" w:after="150"/>
      </w:pPr>
      <w:r>
        <w:rPr>
          <w:rFonts w:ascii="Arial" w:cs="Arial" w:eastAsia="Arial" w:hAnsi="Arial"/>
          <w:b/>
          <w:bCs/>
          <w:color w:val="2E75B6"/>
          <w:sz w:val="24"/>
          <w:szCs w:val="24"/>
        </w:rPr>
        <w:t xml:space="preserve">3.3 Pipeline</w:t>
      </w:r>
    </w:p>
    <w:p>
      <w:pPr>
        <w:spacing w:after="120"/>
      </w:pPr>
      <w:r>
        <w:rPr>
          <w:rFonts w:ascii="Arial" w:cs="Arial" w:eastAsia="Arial" w:hAnsi="Arial"/>
          <w:b w:val="false"/>
          <w:bCs w:val="false"/>
          <w:i w:val="false"/>
          <w:iCs w:val="false"/>
          <w:color w:val="333333"/>
          <w:sz w:val="20"/>
          <w:szCs w:val="20"/>
        </w:rPr>
        <w:t xml:space="preserve">Products in development include plant-based cheese, honey, and bacon alternatives, extending the portfolio beyond meat into adjacent plant-based categories.</w:t>
      </w:r>
    </w:p>
    <w:p>
      <w:r>
        <w:br w:type="page"/>
      </w:r>
    </w:p>
    <w:p>
      <w:pPr>
        <w:pStyle w:val="Heading1"/>
        <w:spacing w:before="400" w:after="200"/>
      </w:pPr>
      <w:r>
        <w:rPr>
          <w:rFonts w:ascii="Arial" w:cs="Arial" w:eastAsia="Arial" w:hAnsi="Arial"/>
          <w:b/>
          <w:bCs/>
          <w:color w:val="1B3A5C"/>
          <w:sz w:val="28"/>
          <w:szCs w:val="28"/>
        </w:rPr>
        <w:t xml:space="preserve">4. FUNDING &amp; FINANCIALS</w:t>
      </w:r>
    </w:p>
    <w:p>
      <w:pPr>
        <w:pStyle w:val="Heading2"/>
        <w:spacing w:before="300" w:after="150"/>
      </w:pPr>
      <w:r>
        <w:rPr>
          <w:rFonts w:ascii="Arial" w:cs="Arial" w:eastAsia="Arial" w:hAnsi="Arial"/>
          <w:b/>
          <w:bCs/>
          <w:color w:val="2E75B6"/>
          <w:sz w:val="24"/>
          <w:szCs w:val="24"/>
        </w:rPr>
        <w:t xml:space="preserve">4.1 Funding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560"/>
        <w:gridCol w:w="1800"/>
        <w:gridCol w:w="340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Round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Amount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Valuation</w:t>
            </w:r>
          </w:p>
        </w:tc>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Lead Investors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Series 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Jul 2019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US$8.5M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US$100M</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Monashees, Go4it Capital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Series 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Sep 2020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US$21-25M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~US$130M</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BTG Pactual, ENFINI Investments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Series 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Nov 2021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US$58M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E7D32"/>
                <w:sz w:val="18"/>
                <w:szCs w:val="18"/>
              </w:rPr>
              <w:t xml:space="preserve">US$400M</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BTG Pactual, Rage Capital, XP Inc</w:t>
            </w:r>
          </w:p>
        </w:tc>
      </w:tr>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TOTAL</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~US$90M</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Peak: US$400M</w:t>
            </w:r>
          </w:p>
        </w:tc>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color w:val="FFFFFF"/>
                <w:sz w:val="18"/>
                <w:szCs w:val="18"/>
              </w:rPr>
              <w:t xml:space="preserve">9+ institutional investors</w:t>
            </w:r>
          </w:p>
        </w:tc>
      </w:tr>
    </w:tbl>
    <w:p>
      <w:pPr>
        <w:spacing w:after="200"/>
      </w:pPr>
    </w:p>
    <w:p>
      <w:pPr>
        <w:pStyle w:val="Heading2"/>
        <w:spacing w:before="300" w:after="150"/>
      </w:pPr>
      <w:r>
        <w:rPr>
          <w:rFonts w:ascii="Arial" w:cs="Arial" w:eastAsia="Arial" w:hAnsi="Arial"/>
          <w:b/>
          <w:bCs/>
          <w:color w:val="2E75B6"/>
          <w:sz w:val="24"/>
          <w:szCs w:val="24"/>
        </w:rPr>
        <w:t xml:space="preserve">4.2 Key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Investor</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BTG Pactual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Investment Bank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Largest institutional investor. Exited mid-2024 with ~33% loss.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Monashees+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VC Fund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Participated all rounds (A, B, C). Top-tier LATAM VC.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Go4it Capital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Family Office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Marc Lemann &amp; Cesar Villares. All rounds.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Rage Capital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European VC</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Series C co-lead. Airbnb investor track record.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XP Inc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Brazilian Fintech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Series C participant.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ENFINI / PWR Capital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Investment Firm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Series B participant.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Turim MFO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Family Office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Series B/C participant.</w:t>
            </w:r>
          </w:p>
        </w:tc>
      </w:tr>
    </w:tbl>
    <w:p>
      <w:pPr>
        <w:spacing w:after="200"/>
      </w:pPr>
    </w:p>
    <w:p>
      <w:pPr>
        <w:pStyle w:val="Heading2"/>
        <w:spacing w:before="300" w:after="150"/>
      </w:pPr>
      <w:r>
        <w:rPr>
          <w:rFonts w:ascii="Arial" w:cs="Arial" w:eastAsia="Arial" w:hAnsi="Arial"/>
          <w:b/>
          <w:bCs/>
          <w:color w:val="2E75B6"/>
          <w:sz w:val="24"/>
          <w:szCs w:val="24"/>
        </w:rPr>
        <w:t xml:space="preserve">4.3 Valuation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Period</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Valuation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Multiple vs Prior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Context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Jul 2019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US$100M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Baseline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Series A post-money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Sep 2020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~US$130M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1.3x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Pre-Series B investment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Nov 2021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E7D32"/>
                <w:sz w:val="18"/>
                <w:szCs w:val="18"/>
              </w:rPr>
              <w:t xml:space="preserve">US$400M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E7D32"/>
                <w:sz w:val="18"/>
                <w:szCs w:val="18"/>
              </w:rPr>
              <w:t xml:space="preserve">4.0x from 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Peak — plant-based hype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Mid-2024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62828"/>
                <w:sz w:val="18"/>
                <w:szCs w:val="18"/>
              </w:rPr>
              <w:t xml:space="preserve">Significantly lower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C62828"/>
                <w:sz w:val="18"/>
                <w:szCs w:val="18"/>
              </w:rPr>
              <w:t xml:space="preserve">BTG exited -33%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Sector downturn, pivot</w:t>
            </w:r>
          </w:p>
        </w:tc>
      </w:tr>
    </w:tbl>
    <w:p>
      <w:pPr>
        <w:spacing w:after="200"/>
      </w:pPr>
    </w:p>
    <w:p>
      <w:pPr>
        <w:pStyle w:val="Heading2"/>
        <w:spacing w:before="300" w:after="150"/>
      </w:pPr>
      <w:r>
        <w:rPr>
          <w:rFonts w:ascii="Arial" w:cs="Arial" w:eastAsia="Arial" w:hAnsi="Arial"/>
          <w:b/>
          <w:bCs/>
          <w:color w:val="2E75B6"/>
          <w:sz w:val="24"/>
          <w:szCs w:val="24"/>
        </w:rPr>
        <w:t xml:space="preserve">4.4 Financial Metrics (Limited Public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62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 Point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Revenue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Estimated US$5-25M annually (Owler); not officially disclosed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Gross Margin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44% (stated by CEO Marcos Leta)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EBITDA / Net Income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Not disclosed. Likely operating at a loss during expansion phase.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Addressable Market (BR)</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R$200M annually (CEO estimate, 2024)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Production Capacity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600-700 tons/month (potential: 1,200-1,300 tons)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Distribution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20,000 retail points in Brazil (2024)</w:t>
            </w:r>
          </w:p>
        </w:tc>
      </w:tr>
    </w:tbl>
    <w:p>
      <w:pPr>
        <w:spacing w:after="100"/>
      </w:pPr>
    </w:p>
    <w:p>
      <w:pPr>
        <w:pStyle w:val="Heading2"/>
        <w:spacing w:before="300" w:after="150"/>
      </w:pPr>
      <w:r>
        <w:rPr>
          <w:rFonts w:ascii="Arial" w:cs="Arial" w:eastAsia="Arial" w:hAnsi="Arial"/>
          <w:b/>
          <w:bCs/>
          <w:color w:val="2E75B6"/>
          <w:sz w:val="24"/>
          <w:szCs w:val="24"/>
        </w:rPr>
        <w:t xml:space="preserve">4.5 BTG Pactual Exit (Aug 2024)</w:t>
      </w:r>
    </w:p>
    <w:p>
      <w:pPr>
        <w:spacing w:after="120"/>
      </w:pPr>
      <w:r>
        <w:rPr>
          <w:rFonts w:ascii="Arial" w:cs="Arial" w:eastAsia="Arial" w:hAnsi="Arial"/>
          <w:b w:val="false"/>
          <w:bCs w:val="false"/>
          <w:i w:val="false"/>
          <w:iCs w:val="false"/>
          <w:color w:val="333333"/>
          <w:sz w:val="20"/>
          <w:szCs w:val="20"/>
        </w:rPr>
        <w:t xml:space="preserve">BTG Pactual's BoostLAB Ventures fund sold its stake back to founders Marcos Leta and Alfredo Strechinsky. The FF Multistratégia fund recorded a 32.79% reduction in NAV from the Fazenda Futuro position. This signals the company's valuation dropped significantly from the R$2.2B peak. Founders regained full control with a smaller group of partners and two smaller funds.</w:t>
      </w:r>
    </w:p>
    <w:p>
      <w:r>
        <w:br w:type="page"/>
      </w:r>
    </w:p>
    <w:p>
      <w:pPr>
        <w:pStyle w:val="Heading1"/>
        <w:spacing w:before="400" w:after="200"/>
      </w:pPr>
      <w:r>
        <w:rPr>
          <w:rFonts w:ascii="Arial" w:cs="Arial" w:eastAsia="Arial" w:hAnsi="Arial"/>
          <w:b/>
          <w:bCs/>
          <w:color w:val="1B3A5C"/>
          <w:sz w:val="28"/>
          <w:szCs w:val="28"/>
        </w:rPr>
        <w:t xml:space="preserve">5. STRATEGIC EVOLUTION</w:t>
      </w:r>
    </w:p>
    <w:p>
      <w:pPr>
        <w:pStyle w:val="Heading2"/>
        <w:spacing w:before="300" w:after="150"/>
      </w:pPr>
      <w:r>
        <w:rPr>
          <w:rFonts w:ascii="Arial" w:cs="Arial" w:eastAsia="Arial" w:hAnsi="Arial"/>
          <w:b/>
          <w:bCs/>
          <w:color w:val="2E75B6"/>
          <w:sz w:val="24"/>
          <w:szCs w:val="24"/>
        </w:rPr>
        <w:t xml:space="preserve">5.1 Phase 1: Explosive Growth (2019-2022)</w:t>
      </w:r>
    </w:p>
    <w:p>
      <w:pPr>
        <w:spacing w:after="120"/>
      </w:pPr>
      <w:r>
        <w:rPr>
          <w:rFonts w:ascii="Arial" w:cs="Arial" w:eastAsia="Arial" w:hAnsi="Arial"/>
          <w:b w:val="false"/>
          <w:bCs w:val="false"/>
          <w:i w:val="false"/>
          <w:iCs w:val="false"/>
          <w:color w:val="333333"/>
          <w:sz w:val="20"/>
          <w:szCs w:val="20"/>
        </w:rPr>
        <w:t xml:space="preserve">Initial strategy: rapid product expansion + aggressive international growth. Expanded from Brazil to 23-30 countries including US, UK, Germany, Chile, Colombia. Hired former Red Bull executive Alexandre Ruberti as US CEO. Target: 65% of sales from US market within 2 years.</w:t>
      </w:r>
    </w:p>
    <w:p>
      <w:pPr>
        <w:pStyle w:val="Heading2"/>
        <w:spacing w:before="300" w:after="150"/>
      </w:pPr>
      <w:r>
        <w:rPr>
          <w:rFonts w:ascii="Arial" w:cs="Arial" w:eastAsia="Arial" w:hAnsi="Arial"/>
          <w:b/>
          <w:bCs/>
          <w:color w:val="2E75B6"/>
          <w:sz w:val="24"/>
          <w:szCs w:val="24"/>
        </w:rPr>
        <w:t xml:space="preserve">5.2 Phase 2: The Pivot (2023-2024)</w:t>
      </w:r>
    </w:p>
    <w:p>
      <w:pPr>
        <w:spacing w:after="120"/>
      </w:pPr>
      <w:r>
        <w:rPr>
          <w:rFonts w:ascii="Arial" w:cs="Arial" w:eastAsia="Arial" w:hAnsi="Arial"/>
          <w:b w:val="false"/>
          <w:bCs w:val="false"/>
          <w:i w:val="false"/>
          <w:iCs w:val="false"/>
          <w:color w:val="333333"/>
          <w:sz w:val="20"/>
          <w:szCs w:val="20"/>
        </w:rPr>
        <w:t xml:space="preserve">Reality check triggered by multiple factors:</w:t>
      </w:r>
    </w:p>
    <w:p>
      <w:pPr>
        <w:pStyle w:val="ListParagraph"/>
        <w:numPr>
          <w:ilvl w:val="0"/>
          <w:numId w:val="2"/>
        </w:numPr>
        <w:spacing w:after="60"/>
      </w:pPr>
      <w:r>
        <w:rPr>
          <w:rFonts w:ascii="Arial" w:cs="Arial" w:eastAsia="Arial" w:hAnsi="Arial"/>
          <w:sz w:val="20"/>
          <w:szCs w:val="20"/>
        </w:rPr>
        <w:t xml:space="preserve">Plant-based sector investment declined ~50% in 2024 globally</w:t>
      </w:r>
    </w:p>
    <w:p>
      <w:pPr>
        <w:pStyle w:val="ListParagraph"/>
        <w:numPr>
          <w:ilvl w:val="0"/>
          <w:numId w:val="2"/>
        </w:numPr>
        <w:spacing w:after="60"/>
      </w:pPr>
      <w:r>
        <w:rPr>
          <w:rFonts w:ascii="Arial" w:cs="Arial" w:eastAsia="Arial" w:hAnsi="Arial"/>
          <w:sz w:val="20"/>
          <w:szCs w:val="20"/>
        </w:rPr>
        <w:t xml:space="preserve">Beyond Meat stock collapsed below US$1; Impossible Foods conducting layoffs</w:t>
      </w:r>
    </w:p>
    <w:p>
      <w:pPr>
        <w:pStyle w:val="ListParagraph"/>
        <w:numPr>
          <w:ilvl w:val="0"/>
          <w:numId w:val="2"/>
        </w:numPr>
        <w:spacing w:after="60"/>
      </w:pPr>
      <w:r>
        <w:rPr>
          <w:rFonts w:ascii="Arial" w:cs="Arial" w:eastAsia="Arial" w:hAnsi="Arial"/>
          <w:sz w:val="20"/>
          <w:szCs w:val="20"/>
        </w:rPr>
        <w:t xml:space="preserve">Brazilian addressable market reassessed at only R$200M (vs implied billions at peak valuation)</w:t>
      </w:r>
    </w:p>
    <w:p>
      <w:pPr>
        <w:pStyle w:val="ListParagraph"/>
        <w:numPr>
          <w:ilvl w:val="0"/>
          <w:numId w:val="2"/>
        </w:numPr>
        <w:spacing w:after="60"/>
      </w:pPr>
      <w:r>
        <w:rPr>
          <w:rFonts w:ascii="Arial" w:cs="Arial" w:eastAsia="Arial" w:hAnsi="Arial"/>
          <w:sz w:val="20"/>
          <w:szCs w:val="20"/>
        </w:rPr>
        <w:t xml:space="preserve">International expansion burning cash without proportional returns</w:t>
      </w:r>
    </w:p>
    <w:p>
      <w:pPr>
        <w:pStyle w:val="ListParagraph"/>
        <w:numPr>
          <w:ilvl w:val="0"/>
          <w:numId w:val="2"/>
        </w:numPr>
        <w:spacing w:after="120"/>
      </w:pPr>
      <w:r>
        <w:rPr>
          <w:rFonts w:ascii="Arial" w:cs="Arial" w:eastAsia="Arial" w:hAnsi="Arial"/>
          <w:sz w:val="20"/>
          <w:szCs w:val="20"/>
        </w:rPr>
        <w:t xml:space="preserve">Founders bought out BTG Pactual at ~33% loss, regaining control</w:t>
      </w:r>
    </w:p>
    <w:p>
      <w:pPr>
        <w:pStyle w:val="Heading2"/>
        <w:spacing w:before="300" w:after="150"/>
      </w:pPr>
      <w:r>
        <w:rPr>
          <w:rFonts w:ascii="Arial" w:cs="Arial" w:eastAsia="Arial" w:hAnsi="Arial"/>
          <w:b/>
          <w:bCs/>
          <w:color w:val="2E75B6"/>
          <w:sz w:val="24"/>
          <w:szCs w:val="24"/>
        </w:rPr>
        <w:t xml:space="preserve">5.3 Phase 3: Refocused Operations (2024+)</w:t>
      </w:r>
    </w:p>
    <w:p>
      <w:pPr>
        <w:spacing w:after="120"/>
      </w:pPr>
      <w:r>
        <w:rPr>
          <w:rFonts w:ascii="Arial" w:cs="Arial" w:eastAsia="Arial" w:hAnsi="Arial"/>
          <w:b w:val="false"/>
          <w:bCs w:val="false"/>
          <w:i w:val="false"/>
          <w:iCs w:val="false"/>
          <w:color w:val="333333"/>
          <w:sz w:val="20"/>
          <w:szCs w:val="20"/>
        </w:rPr>
        <w:t xml:space="preserve">New strategic pillars per CEO Marcos Leta:</w:t>
      </w:r>
    </w:p>
    <w:p>
      <w:pPr>
        <w:pStyle w:val="ListParagraph"/>
        <w:numPr>
          <w:ilvl w:val="0"/>
          <w:numId w:val="2"/>
        </w:numPr>
        <w:spacing w:after="60"/>
      </w:pPr>
      <w:r>
        <w:rPr>
          <w:rFonts w:ascii="Arial" w:cs="Arial" w:eastAsia="Arial" w:hAnsi="Arial"/>
          <w:sz w:val="20"/>
          <w:szCs w:val="20"/>
        </w:rPr>
        <w:t xml:space="preserve">Brazil-first: refocused on 20,000 domestic retail points</w:t>
      </w:r>
    </w:p>
    <w:p>
      <w:pPr>
        <w:pStyle w:val="ListParagraph"/>
        <w:numPr>
          <w:ilvl w:val="0"/>
          <w:numId w:val="2"/>
        </w:numPr>
        <w:spacing w:after="60"/>
      </w:pPr>
      <w:r>
        <w:rPr>
          <w:rFonts w:ascii="Arial" w:cs="Arial" w:eastAsia="Arial" w:hAnsi="Arial"/>
          <w:sz w:val="20"/>
          <w:szCs w:val="20"/>
        </w:rPr>
        <w:t xml:space="preserve">Flexitarians over vegans: targeting occasional plant-based consumers, not committed vegans</w:t>
      </w:r>
    </w:p>
    <w:p>
      <w:pPr>
        <w:pStyle w:val="ListParagraph"/>
        <w:numPr>
          <w:ilvl w:val="0"/>
          <w:numId w:val="2"/>
        </w:numPr>
        <w:spacing w:after="60"/>
      </w:pPr>
      <w:r>
        <w:rPr>
          <w:rFonts w:ascii="Arial" w:cs="Arial" w:eastAsia="Arial" w:hAnsi="Arial"/>
          <w:sz w:val="20"/>
          <w:szCs w:val="20"/>
        </w:rPr>
        <w:t xml:space="preserve">"Less social media, more street presence": grassroots consumer engagement</w:t>
      </w:r>
    </w:p>
    <w:p>
      <w:pPr>
        <w:pStyle w:val="ListParagraph"/>
        <w:numPr>
          <w:ilvl w:val="0"/>
          <w:numId w:val="2"/>
        </w:numPr>
        <w:spacing w:after="60"/>
      </w:pPr>
      <w:r>
        <w:rPr>
          <w:rFonts w:ascii="Arial" w:cs="Arial" w:eastAsia="Arial" w:hAnsi="Arial"/>
          <w:sz w:val="20"/>
          <w:szCs w:val="20"/>
        </w:rPr>
        <w:t xml:space="preserve">Lean operations: smaller team, less external capital dependency</w:t>
      </w:r>
    </w:p>
    <w:p>
      <w:pPr>
        <w:pStyle w:val="ListParagraph"/>
        <w:numPr>
          <w:ilvl w:val="0"/>
          <w:numId w:val="2"/>
        </w:numPr>
        <w:spacing w:after="120"/>
      </w:pPr>
      <w:r>
        <w:rPr>
          <w:rFonts w:ascii="Arial" w:cs="Arial" w:eastAsia="Arial" w:hAnsi="Arial"/>
          <w:sz w:val="20"/>
          <w:szCs w:val="20"/>
        </w:rPr>
        <w:t xml:space="preserve">Product innovation: Futuro Burger 4.0, oat milk line, pipeline expansion</w:t>
      </w:r>
    </w:p>
    <w:p>
      <w:r>
        <w:br w:type="page"/>
      </w:r>
    </w:p>
    <w:p>
      <w:pPr>
        <w:pStyle w:val="Heading1"/>
        <w:spacing w:before="400" w:after="200"/>
      </w:pPr>
      <w:r>
        <w:rPr>
          <w:rFonts w:ascii="Arial" w:cs="Arial" w:eastAsia="Arial" w:hAnsi="Arial"/>
          <w:b/>
          <w:bCs/>
          <w:color w:val="1B3A5C"/>
          <w:sz w:val="28"/>
          <w:szCs w:val="28"/>
        </w:rPr>
        <w:t xml:space="preserve">6. COMPETITIVE LANDSCAPE</w:t>
      </w:r>
    </w:p>
    <w:p>
      <w:pPr>
        <w:pStyle w:val="Heading2"/>
        <w:spacing w:before="300" w:after="150"/>
      </w:pPr>
      <w:r>
        <w:rPr>
          <w:rFonts w:ascii="Arial" w:cs="Arial" w:eastAsia="Arial" w:hAnsi="Arial"/>
          <w:b/>
          <w:bCs/>
          <w:color w:val="2E75B6"/>
          <w:sz w:val="24"/>
          <w:szCs w:val="24"/>
        </w:rPr>
        <w:t xml:space="preserve">6.1 Brazil Plant-Based Market</w:t>
      </w:r>
    </w:p>
    <w:p>
      <w:pPr>
        <w:spacing w:after="120"/>
      </w:pPr>
      <w:r>
        <w:rPr>
          <w:rFonts w:ascii="Arial" w:cs="Arial" w:eastAsia="Arial" w:hAnsi="Arial"/>
          <w:b w:val="false"/>
          <w:bCs w:val="false"/>
          <w:i w:val="false"/>
          <w:iCs w:val="false"/>
          <w:color w:val="333333"/>
          <w:sz w:val="20"/>
          <w:szCs w:val="20"/>
        </w:rPr>
        <w:t xml:space="preserve">The Brazilian plant-based market reached R$1.1 billion in retail sales in 2023 (up 38% YoY). Plant-based meats alone projected at R$800M by 2025. Key drivers: health consciousness (especially Gen Z), sustainability concerns, and a growing flexitarian movement — 26% of Brazilians consume plant-based meat at least once/month.</w:t>
      </w:r>
    </w:p>
    <w:p>
      <w:pPr>
        <w:spacing w:after="100"/>
      </w:pPr>
    </w:p>
    <w:p>
      <w:pPr>
        <w:pStyle w:val="Heading2"/>
        <w:spacing w:before="300" w:after="150"/>
      </w:pPr>
      <w:r>
        <w:rPr>
          <w:rFonts w:ascii="Arial" w:cs="Arial" w:eastAsia="Arial" w:hAnsi="Arial"/>
          <w:b/>
          <w:bCs/>
          <w:color w:val="2E75B6"/>
          <w:sz w:val="24"/>
          <w:szCs w:val="24"/>
        </w:rPr>
        <w:t xml:space="preserve">6.2 Competitive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2000"/>
        <w:gridCol w:w="2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Company</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Market Share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Products</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Seara Incrível (JBS)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Meat Giant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E7D32"/>
                <w:sz w:val="18"/>
                <w:szCs w:val="18"/>
              </w:rPr>
              <w:t xml:space="preserve">60%+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Steak, ground meat, chicken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Market leader. Massive distribution.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Fazenda Futuro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Startup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~15-20% est.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Burger, ground, sausage, milk</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Pioneer. Refocusing on Brazil.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PlantPlus (Marfrig+ADM)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JV</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Growing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Burgers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Leveraging Marfrig distribution.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NotCo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Startup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Niche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Multi-category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Chilean. Regional expansion.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Beyond Meat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 Public Co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Declining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Burger, sausage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C62828"/>
                <w:sz w:val="18"/>
                <w:szCs w:val="18"/>
              </w:rPr>
              <w:t xml:space="preserve">Stock &lt;$1. Survival mode.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Sadia Veg&amp;Tal (BRF)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Meat Giant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Retreated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Vegetal line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BRF abandoned plant-based 2023.</w:t>
            </w:r>
          </w:p>
        </w:tc>
      </w:tr>
    </w:tbl>
    <w:p>
      <w:pPr>
        <w:spacing w:after="200"/>
      </w:pPr>
    </w:p>
    <w:p>
      <w:pPr>
        <w:pStyle w:val="Heading2"/>
        <w:spacing w:before="300" w:after="150"/>
      </w:pPr>
      <w:r>
        <w:rPr>
          <w:rFonts w:ascii="Arial" w:cs="Arial" w:eastAsia="Arial" w:hAnsi="Arial"/>
          <w:b/>
          <w:bCs/>
          <w:color w:val="2E75B6"/>
          <w:sz w:val="24"/>
          <w:szCs w:val="24"/>
        </w:rPr>
        <w:t xml:space="preserve">6.3 Global Industry Context (2025)</w:t>
      </w:r>
    </w:p>
    <w:p>
      <w:pPr>
        <w:spacing w:after="120"/>
      </w:pPr>
      <w:r>
        <w:rPr>
          <w:rFonts w:ascii="Arial" w:cs="Arial" w:eastAsia="Arial" w:hAnsi="Arial"/>
          <w:b w:val="false"/>
          <w:bCs w:val="false"/>
          <w:i w:val="false"/>
          <w:iCs w:val="false"/>
          <w:color w:val="333333"/>
          <w:sz w:val="20"/>
          <w:szCs w:val="20"/>
        </w:rPr>
        <w:t xml:space="preserve">The global plant-based industry experienced a sharp correction after 2022's peak hype. Beyond Meat rebranded to "Beyond" and pivoted to protein drinks; stock collapsed. Impossible Foods pursuing European expansion but profitability remains distant. Private investment in plant-based sector declined ~50% in 2024. However, Brazil's domestic market shows resilience with 20-40% annual growth, driven by currency advantages for local producers and strong consumer adoption.</w:t>
      </w:r>
    </w:p>
    <w:p>
      <w:r>
        <w:br w:type="page"/>
      </w:r>
    </w:p>
    <w:p>
      <w:pPr>
        <w:pStyle w:val="Heading1"/>
        <w:spacing w:before="400" w:after="200"/>
      </w:pPr>
      <w:r>
        <w:rPr>
          <w:rFonts w:ascii="Arial" w:cs="Arial" w:eastAsia="Arial" w:hAnsi="Arial"/>
          <w:b/>
          <w:bCs/>
          <w:color w:val="1B3A5C"/>
          <w:sz w:val="28"/>
          <w:szCs w:val="28"/>
        </w:rPr>
        <w:t xml:space="preserve">7. KEY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Year</w:t>
            </w:r>
          </w:p>
        </w:tc>
        <w:tc>
          <w:tcPr>
            <w:tcW w:type="dxa" w:w="7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2009</w:t>
            </w:r>
          </w:p>
        </w:tc>
        <w:tc>
          <w:tcPr>
            <w:tcW w:type="dxa" w:w="7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Marcos Leta &amp; Alfredo Strechinsky found Do Bem juice company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2016</w:t>
            </w:r>
          </w:p>
        </w:tc>
        <w:tc>
          <w:tcPr>
            <w:tcW w:type="dxa" w:w="7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Do Bem sold to AmBev (AB InBev subsidiary)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2017</w:t>
            </w:r>
          </w:p>
        </w:tc>
        <w:tc>
          <w:tcPr>
            <w:tcW w:type="dxa" w:w="7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Founders begin studying Brazilian food market; Fazenda Futuro R&amp;D starts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2019</w:t>
            </w:r>
          </w:p>
        </w:tc>
        <w:tc>
          <w:tcPr>
            <w:tcW w:type="dxa" w:w="7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Official launch with Futuro Burger. Series A: US$8.5M at US$100M valuation.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2020</w:t>
            </w:r>
          </w:p>
        </w:tc>
        <w:tc>
          <w:tcPr>
            <w:tcW w:type="dxa" w:w="7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Series B: US$21-25M. Sausage launch. Fast Company World Changing Ideas Award.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2021</w:t>
            </w:r>
          </w:p>
        </w:tc>
        <w:tc>
          <w:tcPr>
            <w:tcW w:type="dxa" w:w="7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Series C: US$58M at US$400M valuation. Tuna &amp; oat milk launches. US market entry.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2022</w:t>
            </w:r>
          </w:p>
        </w:tc>
        <w:tc>
          <w:tcPr>
            <w:tcW w:type="dxa" w:w="7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Expands to 23-30 countries, 10,000+ retail points. Peak international presence.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2023</w:t>
            </w:r>
          </w:p>
        </w:tc>
        <w:tc>
          <w:tcPr>
            <w:tcW w:type="dxa" w:w="7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Plant-based sector downturn begins. Company starts reassessing strategy.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62828"/>
                <w:sz w:val="18"/>
                <w:szCs w:val="18"/>
              </w:rPr>
              <w:t xml:space="preserve">2024</w:t>
            </w:r>
          </w:p>
        </w:tc>
        <w:tc>
          <w:tcPr>
            <w:tcW w:type="dxa" w:w="7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PIVOT: Founders buy out BTG Pactual (-33% loss). Return to Brazil focus. Lean operations. Futuro Burger 4.0 &amp; oat milk launches. 20,000 domestic retail points.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2025+</w:t>
            </w:r>
          </w:p>
        </w:tc>
        <w:tc>
          <w:tcPr>
            <w:tcW w:type="dxa" w:w="7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Continued Brazil-first strategy. Product innovation. Profitability-focused model.</w:t>
            </w:r>
          </w:p>
        </w:tc>
      </w:tr>
    </w:tbl>
    <w:p>
      <w:r>
        <w:br w:type="page"/>
      </w:r>
    </w:p>
    <w:p>
      <w:pPr>
        <w:pStyle w:val="Heading1"/>
        <w:spacing w:before="400" w:after="200"/>
      </w:pPr>
      <w:r>
        <w:rPr>
          <w:rFonts w:ascii="Arial" w:cs="Arial" w:eastAsia="Arial" w:hAnsi="Arial"/>
          <w:b/>
          <w:bCs/>
          <w:color w:val="1B3A5C"/>
          <w:sz w:val="28"/>
          <w:szCs w:val="28"/>
        </w:rPr>
        <w:t xml:space="preserve">8. CRITICAL ANALYSIS</w:t>
      </w:r>
    </w:p>
    <w:p>
      <w:pPr>
        <w:pStyle w:val="Heading2"/>
        <w:spacing w:before="300" w:after="150"/>
      </w:pPr>
      <w:r>
        <w:rPr>
          <w:rFonts w:ascii="Arial" w:cs="Arial" w:eastAsia="Arial" w:hAnsi="Arial"/>
          <w:b/>
          <w:bCs/>
          <w:color w:val="2E75B6"/>
          <w:sz w:val="24"/>
          <w:szCs w:val="24"/>
        </w:rPr>
        <w:t xml:space="preserve">8.1 Valuation vs Market Reality</w:t>
      </w:r>
    </w:p>
    <w:p>
      <w:pPr>
        <w:spacing w:after="120"/>
      </w:pPr>
      <w:r>
        <w:rPr>
          <w:rFonts w:ascii="Arial" w:cs="Arial" w:eastAsia="Arial" w:hAnsi="Arial"/>
          <w:b w:val="false"/>
          <w:bCs w:val="false"/>
          <w:i w:val="false"/>
          <w:iCs w:val="false"/>
          <w:color w:val="333333"/>
          <w:sz w:val="20"/>
          <w:szCs w:val="20"/>
        </w:rPr>
        <w:t xml:space="preserve">The most striking data point is the disconnect between peak valuation (R$2.2B / ~US$400M) and the CEO's own 2024 assessment of the Brazilian addressable market at only R$200M annually. This implies the company was valued at ~11x the entire addressable market — a significant overvaluation driven by sector euphoria rather than fundamentals.</w:t>
      </w:r>
    </w:p>
    <w:p>
      <w:pPr>
        <w:pStyle w:val="Heading2"/>
        <w:spacing w:before="300" w:after="150"/>
      </w:pPr>
      <w:r>
        <w:rPr>
          <w:rFonts w:ascii="Arial" w:cs="Arial" w:eastAsia="Arial" w:hAnsi="Arial"/>
          <w:b/>
          <w:bCs/>
          <w:color w:val="2E75B6"/>
          <w:sz w:val="24"/>
          <w:szCs w:val="24"/>
        </w:rPr>
        <w:t xml:space="preserve">8.2 Capital Efficiency</w:t>
      </w:r>
    </w:p>
    <w:p>
      <w:pPr>
        <w:spacing w:after="120"/>
      </w:pPr>
      <w:r>
        <w:rPr>
          <w:rFonts w:ascii="Arial" w:cs="Arial" w:eastAsia="Arial" w:hAnsi="Arial"/>
          <w:b w:val="false"/>
          <w:bCs w:val="false"/>
          <w:i w:val="false"/>
          <w:iCs w:val="false"/>
          <w:color w:val="333333"/>
          <w:sz w:val="20"/>
          <w:szCs w:val="20"/>
        </w:rPr>
        <w:t xml:space="preserve">With ~US$90M raised and the company pivoting to "lean operations," capital efficiency during the expansion phase appears poor. The Series C alone (US$58M, 64% of total funding) was raised at peak hype and likely deployed with low ROI on international expansion that was subsequently abandoned.</w:t>
      </w:r>
    </w:p>
    <w:p>
      <w:pPr>
        <w:pStyle w:val="Heading2"/>
        <w:spacing w:before="300" w:after="150"/>
      </w:pPr>
      <w:r>
        <w:rPr>
          <w:rFonts w:ascii="Arial" w:cs="Arial" w:eastAsia="Arial" w:hAnsi="Arial"/>
          <w:b/>
          <w:bCs/>
          <w:color w:val="2E75B6"/>
          <w:sz w:val="24"/>
          <w:szCs w:val="24"/>
        </w:rPr>
        <w:t xml:space="preserve">8.3 Competitive Threat</w:t>
      </w:r>
    </w:p>
    <w:p>
      <w:pPr>
        <w:spacing w:after="120"/>
      </w:pPr>
      <w:r>
        <w:rPr>
          <w:rFonts w:ascii="Arial" w:cs="Arial" w:eastAsia="Arial" w:hAnsi="Arial"/>
          <w:b w:val="false"/>
          <w:bCs w:val="false"/>
          <w:i w:val="false"/>
          <w:iCs w:val="false"/>
          <w:color w:val="333333"/>
          <w:sz w:val="20"/>
          <w:szCs w:val="20"/>
        </w:rPr>
        <w:t xml:space="preserve">The entry of JBS (via Seara Incrível) with 60%+ market share is the dominant competitive threat. JBS brings massive distribution, manufacturing scale, and brand recognition that a startup cannot match. Fazenda Futuro's innovation advantage is real but may be insufficient against this scale disadvantage.</w:t>
      </w:r>
    </w:p>
    <w:p>
      <w:pPr>
        <w:pStyle w:val="Heading2"/>
        <w:spacing w:before="300" w:after="150"/>
      </w:pPr>
      <w:r>
        <w:rPr>
          <w:rFonts w:ascii="Arial" w:cs="Arial" w:eastAsia="Arial" w:hAnsi="Arial"/>
          <w:b/>
          <w:bCs/>
          <w:color w:val="2E75B6"/>
          <w:sz w:val="24"/>
          <w:szCs w:val="24"/>
        </w:rPr>
        <w:t xml:space="preserve">8.4 Positive Signals</w:t>
      </w:r>
    </w:p>
    <w:p>
      <w:pPr>
        <w:pStyle w:val="ListParagraph"/>
        <w:numPr>
          <w:ilvl w:val="0"/>
          <w:numId w:val="2"/>
        </w:numPr>
        <w:spacing w:after="60"/>
      </w:pPr>
      <w:r>
        <w:rPr>
          <w:rFonts w:ascii="Arial" w:cs="Arial" w:eastAsia="Arial" w:hAnsi="Arial"/>
          <w:sz w:val="20"/>
          <w:szCs w:val="20"/>
        </w:rPr>
        <w:t xml:space="preserve">44% gross margin is healthy for a food company</w:t>
      </w:r>
    </w:p>
    <w:p>
      <w:pPr>
        <w:pStyle w:val="ListParagraph"/>
        <w:numPr>
          <w:ilvl w:val="0"/>
          <w:numId w:val="2"/>
        </w:numPr>
        <w:spacing w:after="60"/>
      </w:pPr>
      <w:r>
        <w:rPr>
          <w:rFonts w:ascii="Arial" w:cs="Arial" w:eastAsia="Arial" w:hAnsi="Arial"/>
          <w:sz w:val="20"/>
          <w:szCs w:val="20"/>
        </w:rPr>
        <w:t xml:space="preserve">Founder-led control regained — aligned incentives</w:t>
      </w:r>
    </w:p>
    <w:p>
      <w:pPr>
        <w:pStyle w:val="ListParagraph"/>
        <w:numPr>
          <w:ilvl w:val="0"/>
          <w:numId w:val="2"/>
        </w:numPr>
        <w:spacing w:after="60"/>
      </w:pPr>
      <w:r>
        <w:rPr>
          <w:rFonts w:ascii="Arial" w:cs="Arial" w:eastAsia="Arial" w:hAnsi="Arial"/>
          <w:sz w:val="20"/>
          <w:szCs w:val="20"/>
        </w:rPr>
        <w:t xml:space="preserve">20,000 retail points is substantial distribution in Brazil</w:t>
      </w:r>
    </w:p>
    <w:p>
      <w:pPr>
        <w:pStyle w:val="ListParagraph"/>
        <w:numPr>
          <w:ilvl w:val="0"/>
          <w:numId w:val="2"/>
        </w:numPr>
        <w:spacing w:after="60"/>
      </w:pPr>
      <w:r>
        <w:rPr>
          <w:rFonts w:ascii="Arial" w:cs="Arial" w:eastAsia="Arial" w:hAnsi="Arial"/>
          <w:sz w:val="20"/>
          <w:szCs w:val="20"/>
        </w:rPr>
        <w:t xml:space="preserve">Brazil's plant-based market continues to grow 20-40% annually</w:t>
      </w:r>
    </w:p>
    <w:p>
      <w:pPr>
        <w:pStyle w:val="ListParagraph"/>
        <w:numPr>
          <w:ilvl w:val="0"/>
          <w:numId w:val="2"/>
        </w:numPr>
        <w:spacing w:after="60"/>
      </w:pPr>
      <w:r>
        <w:rPr>
          <w:rFonts w:ascii="Arial" w:cs="Arial" w:eastAsia="Arial" w:hAnsi="Arial"/>
          <w:sz w:val="20"/>
          <w:szCs w:val="20"/>
        </w:rPr>
        <w:t xml:space="preserve">Less external capital dependency reduces pressure</w:t>
      </w:r>
    </w:p>
    <w:p>
      <w:pPr>
        <w:pStyle w:val="ListParagraph"/>
        <w:numPr>
          <w:ilvl w:val="0"/>
          <w:numId w:val="2"/>
        </w:numPr>
        <w:spacing w:after="120"/>
      </w:pPr>
      <w:r>
        <w:rPr>
          <w:rFonts w:ascii="Arial" w:cs="Arial" w:eastAsia="Arial" w:hAnsi="Arial"/>
          <w:sz w:val="20"/>
          <w:szCs w:val="20"/>
        </w:rPr>
        <w:t xml:space="preserve">Active Instagram presence (375K followers) shows continued brand engagement</w:t>
      </w:r>
    </w:p>
    <w:p>
      <w:pPr>
        <w:pStyle w:val="Heading2"/>
        <w:spacing w:before="300" w:after="150"/>
      </w:pPr>
      <w:r>
        <w:rPr>
          <w:rFonts w:ascii="Arial" w:cs="Arial" w:eastAsia="Arial" w:hAnsi="Arial"/>
          <w:b/>
          <w:bCs/>
          <w:color w:val="2E75B6"/>
          <w:sz w:val="24"/>
          <w:szCs w:val="24"/>
        </w:rPr>
        <w:t xml:space="preserve">8.5 Risk Factors</w:t>
      </w:r>
    </w:p>
    <w:p>
      <w:pPr>
        <w:pStyle w:val="ListParagraph"/>
        <w:numPr>
          <w:ilvl w:val="0"/>
          <w:numId w:val="2"/>
        </w:numPr>
        <w:spacing w:after="60"/>
      </w:pPr>
      <w:r>
        <w:rPr>
          <w:rFonts w:ascii="Arial" w:cs="Arial" w:eastAsia="Arial" w:hAnsi="Arial"/>
          <w:sz w:val="20"/>
          <w:szCs w:val="20"/>
        </w:rPr>
        <w:t xml:space="preserve">Small addressable market (R$200M) limits growth ceiling</w:t>
      </w:r>
    </w:p>
    <w:p>
      <w:pPr>
        <w:pStyle w:val="ListParagraph"/>
        <w:numPr>
          <w:ilvl w:val="0"/>
          <w:numId w:val="2"/>
        </w:numPr>
        <w:spacing w:after="60"/>
      </w:pPr>
      <w:r>
        <w:rPr>
          <w:rFonts w:ascii="Arial" w:cs="Arial" w:eastAsia="Arial" w:hAnsi="Arial"/>
          <w:sz w:val="20"/>
          <w:szCs w:val="20"/>
        </w:rPr>
        <w:t xml:space="preserve">JBS/Seara dominance (60%+ share) with expanding product line</w:t>
      </w:r>
    </w:p>
    <w:p>
      <w:pPr>
        <w:pStyle w:val="ListParagraph"/>
        <w:numPr>
          <w:ilvl w:val="0"/>
          <w:numId w:val="2"/>
        </w:numPr>
        <w:spacing w:after="60"/>
      </w:pPr>
      <w:r>
        <w:rPr>
          <w:rFonts w:ascii="Arial" w:cs="Arial" w:eastAsia="Arial" w:hAnsi="Arial"/>
          <w:sz w:val="20"/>
          <w:szCs w:val="20"/>
        </w:rPr>
        <w:t xml:space="preserve">No disclosed path to profitability</w:t>
      </w:r>
    </w:p>
    <w:p>
      <w:pPr>
        <w:pStyle w:val="ListParagraph"/>
        <w:numPr>
          <w:ilvl w:val="0"/>
          <w:numId w:val="2"/>
        </w:numPr>
        <w:spacing w:after="60"/>
      </w:pPr>
      <w:r>
        <w:rPr>
          <w:rFonts w:ascii="Arial" w:cs="Arial" w:eastAsia="Arial" w:hAnsi="Arial"/>
          <w:sz w:val="20"/>
          <w:szCs w:val="20"/>
        </w:rPr>
        <w:t xml:space="preserve">Plant-based sector globally in downturn; investor appetite reduced</w:t>
      </w:r>
    </w:p>
    <w:p>
      <w:pPr>
        <w:pStyle w:val="ListParagraph"/>
        <w:numPr>
          <w:ilvl w:val="0"/>
          <w:numId w:val="2"/>
        </w:numPr>
        <w:spacing w:after="120"/>
      </w:pPr>
      <w:r>
        <w:rPr>
          <w:rFonts w:ascii="Arial" w:cs="Arial" w:eastAsia="Arial" w:hAnsi="Arial"/>
          <w:sz w:val="20"/>
          <w:szCs w:val="20"/>
        </w:rPr>
        <w:t xml:space="preserve">Limited financial transparency — company does not disclose revenue or P&amp;L</w:t>
      </w:r>
    </w:p>
    <w:p>
      <w:r>
        <w:br w:type="page"/>
      </w:r>
    </w:p>
    <w:p>
      <w:pPr>
        <w:pStyle w:val="Heading1"/>
        <w:spacing w:before="400" w:after="200"/>
      </w:pPr>
      <w:r>
        <w:rPr>
          <w:rFonts w:ascii="Arial" w:cs="Arial" w:eastAsia="Arial" w:hAnsi="Arial"/>
          <w:b/>
          <w:bCs/>
          <w:color w:val="1B3A5C"/>
          <w:sz w:val="28"/>
          <w:szCs w:val="28"/>
        </w:rPr>
        <w:t xml:space="preserve">9. SOURCES</w:t>
      </w:r>
    </w:p>
    <w:p>
      <w:pPr>
        <w:spacing w:after="120"/>
      </w:pPr>
      <w:r>
        <w:rPr>
          <w:rFonts w:ascii="Arial" w:cs="Arial" w:eastAsia="Arial" w:hAnsi="Arial"/>
          <w:b w:val="false"/>
          <w:bCs w:val="false"/>
          <w:i/>
          <w:iCs/>
          <w:color w:val="333333"/>
          <w:sz w:val="20"/>
          <w:szCs w:val="20"/>
        </w:rPr>
        <w:t xml:space="preserve">All data in this report was compiled from publicly available sources including:</w:t>
      </w:r>
    </w:p>
    <w:p>
      <w:pPr>
        <w:spacing w:after="100"/>
      </w:pPr>
    </w:p>
    <w:p>
      <w:pPr>
        <w:spacing w:after="120"/>
      </w:pPr>
      <w:r>
        <w:rPr>
          <w:rFonts w:ascii="Arial" w:cs="Arial" w:eastAsia="Arial" w:hAnsi="Arial"/>
          <w:b/>
          <w:bCs/>
          <w:i w:val="false"/>
          <w:iCs w:val="false"/>
          <w:color w:val="333333"/>
          <w:sz w:val="20"/>
          <w:szCs w:val="20"/>
        </w:rPr>
        <w:t xml:space="preserve">Crunchbase, PitchBook, Tracxn, Owler (company/funding databases)</w:t>
      </w:r>
    </w:p>
    <w:p>
      <w:pPr>
        <w:spacing w:after="120"/>
      </w:pPr>
      <w:r>
        <w:rPr>
          <w:rFonts w:ascii="Arial" w:cs="Arial" w:eastAsia="Arial" w:hAnsi="Arial"/>
          <w:b w:val="false"/>
          <w:bCs w:val="false"/>
          <w:i w:val="false"/>
          <w:iCs w:val="false"/>
          <w:color w:val="333333"/>
          <w:sz w:val="20"/>
          <w:szCs w:val="20"/>
        </w:rPr>
        <w:t xml:space="preserve">TechCrunch, Food Dive, Fast Company, VegEconomist (industry press)</w:t>
      </w:r>
    </w:p>
    <w:p>
      <w:pPr>
        <w:spacing w:after="120"/>
      </w:pPr>
      <w:r>
        <w:rPr>
          <w:rFonts w:ascii="Arial" w:cs="Arial" w:eastAsia="Arial" w:hAnsi="Arial"/>
          <w:b w:val="false"/>
          <w:bCs w:val="false"/>
          <w:i w:val="false"/>
          <w:iCs w:val="false"/>
          <w:color w:val="333333"/>
          <w:sz w:val="20"/>
          <w:szCs w:val="20"/>
        </w:rPr>
        <w:t xml:space="preserve">Brazil Journal, InfoMoney, InvestNews, Valor Econômico, CNN Brasil (Brazilian financial press)</w:t>
      </w:r>
    </w:p>
    <w:p>
      <w:pPr>
        <w:spacing w:after="120"/>
      </w:pPr>
      <w:r>
        <w:rPr>
          <w:rFonts w:ascii="Arial" w:cs="Arial" w:eastAsia="Arial" w:hAnsi="Arial"/>
          <w:b w:val="false"/>
          <w:bCs w:val="false"/>
          <w:i w:val="false"/>
          <w:iCs w:val="false"/>
          <w:color w:val="333333"/>
          <w:sz w:val="20"/>
          <w:szCs w:val="20"/>
        </w:rPr>
        <w:t xml:space="preserve">Investidor10 (BTG fund data)</w:t>
      </w:r>
    </w:p>
    <w:p>
      <w:pPr>
        <w:spacing w:after="120"/>
      </w:pPr>
      <w:r>
        <w:rPr>
          <w:rFonts w:ascii="Arial" w:cs="Arial" w:eastAsia="Arial" w:hAnsi="Arial"/>
          <w:b w:val="false"/>
          <w:bCs w:val="false"/>
          <w:i w:val="false"/>
          <w:iCs w:val="false"/>
          <w:color w:val="333333"/>
          <w:sz w:val="20"/>
          <w:szCs w:val="20"/>
        </w:rPr>
        <w:t xml:space="preserve">Vegan Business, GFI Brasil (plant-based industry reports)</w:t>
      </w:r>
    </w:p>
    <w:p>
      <w:pPr>
        <w:spacing w:after="120"/>
      </w:pPr>
      <w:r>
        <w:rPr>
          <w:rFonts w:ascii="Arial" w:cs="Arial" w:eastAsia="Arial" w:hAnsi="Arial"/>
          <w:b w:val="false"/>
          <w:bCs w:val="false"/>
          <w:i w:val="false"/>
          <w:iCs w:val="false"/>
          <w:color w:val="333333"/>
          <w:sz w:val="20"/>
          <w:szCs w:val="20"/>
        </w:rPr>
        <w:t xml:space="preserve">LAVCA, Contxto (LATAM VC/startup coverage)</w:t>
      </w:r>
    </w:p>
    <w:p>
      <w:pPr>
        <w:spacing w:after="120"/>
      </w:pPr>
      <w:r>
        <w:rPr>
          <w:rFonts w:ascii="Arial" w:cs="Arial" w:eastAsia="Arial" w:hAnsi="Arial"/>
          <w:b w:val="false"/>
          <w:bCs w:val="false"/>
          <w:i w:val="false"/>
          <w:iCs w:val="false"/>
          <w:color w:val="333333"/>
          <w:sz w:val="20"/>
          <w:szCs w:val="20"/>
        </w:rPr>
        <w:t xml:space="preserve">Grand View Research, IMARC Group (market sizing)</w:t>
      </w:r>
    </w:p>
    <w:p>
      <w:pPr>
        <w:spacing w:after="120"/>
      </w:pPr>
      <w:r>
        <w:rPr>
          <w:rFonts w:ascii="Arial" w:cs="Arial" w:eastAsia="Arial" w:hAnsi="Arial"/>
          <w:b w:val="false"/>
          <w:bCs w:val="false"/>
          <w:i w:val="false"/>
          <w:iCs w:val="false"/>
          <w:color w:val="333333"/>
          <w:sz w:val="20"/>
          <w:szCs w:val="20"/>
        </w:rPr>
        <w:t xml:space="preserve">fazendafuturo.io, futurefarm.io (company websites)</w:t>
      </w:r>
    </w:p>
    <w:p>
      <w:pPr>
        <w:spacing w:after="120"/>
      </w:pPr>
      <w:r>
        <w:rPr>
          <w:rFonts w:ascii="Arial" w:cs="Arial" w:eastAsia="Arial" w:hAnsi="Arial"/>
          <w:b w:val="false"/>
          <w:bCs w:val="false"/>
          <w:i w:val="false"/>
          <w:iCs w:val="false"/>
          <w:color w:val="333333"/>
          <w:sz w:val="20"/>
          <w:szCs w:val="20"/>
        </w:rPr>
        <w:t xml:space="preserve">Instagram @fazendafuturo (social media)</w:t>
      </w:r>
    </w:p>
    <w:p>
      <w:pPr>
        <w:spacing w:before="400"/>
      </w:pPr>
    </w:p>
    <w:p>
      <w:pPr>
        <w:pBdr>
          <w:top w:val="single" w:color="2E75B6" w:sz="2" w:space="8"/>
        </w:pBdr>
        <w:spacing w:before="200"/>
        <w:jc w:val="center"/>
      </w:pPr>
      <w:r>
        <w:rPr>
          <w:rFonts w:ascii="Arial" w:cs="Arial" w:eastAsia="Arial" w:hAnsi="Arial"/>
          <w:i/>
          <w:iCs/>
          <w:color w:val="666666"/>
          <w:sz w:val="18"/>
          <w:szCs w:val="18"/>
        </w:rPr>
        <w:t xml:space="preserve">End of Report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tabs>
        <w:tab w:val="right" w:pos="9026"/>
      </w:tabs>
    </w:pPr>
    <w:r>
      <w:rPr>
        <w:rFonts w:ascii="Arial" w:cs="Arial" w:eastAsia="Arial" w:hAnsi="Arial"/>
        <w:color w:val="666666"/>
        <w:sz w:val="16"/>
        <w:szCs w:val="16"/>
      </w:rPr>
      <w:t xml:space="preserve">Fazenda Futuro — Deep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2026-02-18T01:15:48.757Z</dcterms:created>
  <dcterms:modified xsi:type="dcterms:W3CDTF">2026-02-18T01:15:48.757Z</dcterms:modified>
</cp:coreProperties>
</file>

<file path=docProps/custom.xml><?xml version="1.0" encoding="utf-8"?>
<Properties xmlns="http://schemas.openxmlformats.org/officeDocument/2006/custom-properties" xmlns:vt="http://schemas.openxmlformats.org/officeDocument/2006/docPropsVTypes"/>
</file>