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2"/>
        </w:rPr>
        <w:t>LAPORAN AUDIT PERPAJAKAN DAN SURAT TANGGAPAN RESMI SP2DK</w:t>
      </w:r>
    </w:p>
    <w:p>
      <w:pPr>
        <w:jc w:val="center"/>
      </w:pPr>
      <w:r>
        <w:rPr>
          <w:rFonts w:ascii="Calibri" w:hAnsi="Calibri"/>
          <w:b/>
          <w:color w:val="595959"/>
          <w:sz w:val="22"/>
        </w:rPr>
        <w:t>PT SERBA ADA SEJAHTERA (ANN ARBOR SUPERMARKET &amp; PHARMACY ADDITION)</w:t>
      </w:r>
    </w:p>
    <w:p/>
    <w:p>
      <w:pPr>
        <w:pStyle w:val="Heading1"/>
      </w:pPr>
      <w:r>
        <w:rPr>
          <w:color w:val="1F4E79"/>
        </w:rPr>
        <w:t>1. SURAT TANGGAPAN RESMI ATAS SP2DK DITJEN PAJAK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</w:tcPr>
          <w:p>
            <w:r>
              <w:rPr>
                <w:b/>
              </w:rPr>
              <w:t>PT SERBA ADA SEJAHTERA</w:t>
              <w:br/>
            </w:r>
            <w:r>
              <w:rPr>
                <w:i/>
              </w:rPr>
              <w:t>Jl. Ann Arbor Raya No. 88, Jakarta Selatan | Telp: (021) 555-8899 | Email: tax@serbaada.co.id</w:t>
              <w:br/>
            </w:r>
            <w:r>
              <w:t>-----------------------------------------------------------------------------------------------------------------</w:t>
              <w:br/>
            </w:r>
            <w:r>
              <w:t>Nomor   : 045/DIR-SAS/EXT/III/2026                                             Jakarta, 22 Maret 2026</w:t>
              <w:br/>
            </w:r>
            <w:r>
              <w:t>Hal     : Tanggapan Tertulis atas SP2DK No. S-892/WPJ.07/KP.04/2026</w:t>
              <w:br/>
            </w:r>
            <w:r>
              <w:t>Kepada Yth.</w:t>
              <w:br/>
              <w:t>Kepala Kantor Pelayanan Pajak Madya Jakarta</w:t>
              <w:br/>
              <w:t>Jl. Ridwan Rais No. 5-7, Jakarta Pusat</w:t>
              <w:br/>
              <w:br/>
            </w:r>
            <w:r>
              <w:t>Sehubungan dengan Surat Permintaan Penjelasan atas Data dan/atau Keterangan (SP2DK) No. S-892/WPJ.07/KP.04/2026 tanggal 15 Maret 2026, bersama ini PT Serba Ada Sejahtera menyampaikan penjelasan resmi dan tanggapan tertulis atas temuan ekualisasi perpajakan Tahun Pajak 2025 sebagai berikut:</w:t>
              <w:br/>
              <w:br/>
              <w:t>1. Penjelasan PPN Penyerahan Apotek &amp; Supermarket:</w:t>
              <w:br/>
              <w:t xml:space="preserve">   Perusahaan mengakui adanya kekeliruan administrasi dalam perhitungan DPP PPN atas Apotek OTC di mana belum dilakukan Gross-Up (100/111) x Omzet Bruto, serta kekeliruan menganggap Penjualan Obat Resep Dokter mitra sebagai Bebas PPN. Perusahaan setuju melakukan pembetulan SPT Masa PPN dengan tambahan PPN Terutang Pokok sebesar Rp 396.396.396.</w:t>
              <w:br/>
              <w:br/>
              <w:t>2. Penjelasan PPh Pasal 21 Dokter &amp; Apoteker:</w:t>
              <w:br/>
              <w:t xml:space="preserve">   Sesuai PER-16/PJ/2016 dan PMK 168/PMK.03/2023, perusahaan telah merevisi Kertas Kerja PPh 21 dengan memisahkan Jasa Sarana Supermarket (Omzet PT) dan Jasa Medis Murni Hak Dokter. DPP PPh 21 Dokter dihitung dari 50% x Jasa Medis Murni, menghasilkan kurang potong PPh 21 sebesar Rp 55.500.000.</w:t>
              <w:br/>
              <w:br/>
              <w:t>3. Penjelasan PPh Pasal 23 KSO &amp; PPh 4(2) Sewa Booth:</w:t>
              <w:br/>
              <w:t xml:space="preserve">   Atas KSO Alat Cek Darah Apotek (Rp 250 Juta) dan Sewa Space Booth Apotek (Rp 300 Juta), perusahaan setuju melakukan pemotongan PPh 23 2% (Rp 5 Juta) dan PPh 4(2) Final 10% (Rp 30 Juta).</w:t>
              <w:br/>
              <w:br/>
              <w:t>4. Penjelasan PPh Badan &amp; Amortisasi Investasi Rp 18 Miliar:</w:t>
              <w:br/>
              <w:t xml:space="preserve">   Biaya investasi awal apotek Rp 18.000.000.000 yang semula dikreditkan penuh sebagai OpEx di Tahun 2025, dikoreksi fiskal negatif dan dikapitalisasi sebagai Harta Tak Berwujud Kelompok 1 (Amortisasi 4 Tahun @ Rp 4.500.000.000/tahun). Hal ini menghasilkan PPh Badan Terutang Pokok sebesar Rp 770.000.000 (Kurang Bayar Rp 2.695.000.000 dari SPT awal).</w:t>
              <w:br/>
              <w:br/>
              <w:t>Demikian tanggapan ini kami sampaikan. Perusahaan berkomitmen melakukan pelunasan seluruh pokok pajak dan sanksi bunga KUP.</w:t>
              <w:br/>
              <w:br/>
              <w:t>Hormat kami,</w:t>
              <w:br/>
              <w:t>PT Serba Ada Sejahtera</w:t>
              <w:br/>
              <w:br/>
              <w:br/>
              <w:t>( Budi Santoso, S.E., M.M. )</w:t>
              <w:br/>
              <w:t>Direktur Utama</w:t>
            </w:r>
          </w:p>
        </w:tc>
      </w:tr>
    </w:tbl>
    <w:p/>
    <w:p>
      <w:pPr>
        <w:pStyle w:val="Heading1"/>
      </w:pPr>
      <w:r>
        <w:rPr>
          <w:color w:val="1F4E79"/>
        </w:rPr>
        <w:t>2. REKAPITULASI KERTAS KERJA REKONSILIASI AUDIT PERPAJAKAN</w:t>
      </w:r>
    </w:p>
    <w:p>
      <w:r>
        <w:rPr>
          <w:rFonts w:ascii="Calibri" w:hAnsi="Calibri"/>
        </w:rPr>
        <w:t>Tabel berikut menyajikan rekapitulasi perbandingan kewajiban pajak dilaporkan (SPT) vs hasil audit konsultan: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Jenis Pajak</w:t>
            </w:r>
          </w:p>
        </w:tc>
        <w:tc>
          <w:tcPr>
            <w:tcW w:type="dxa" w:w="129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Pokok SPT</w:t>
            </w:r>
          </w:p>
        </w:tc>
        <w:tc>
          <w:tcPr>
            <w:tcW w:type="dxa" w:w="129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Hasil Audit</w:t>
            </w:r>
          </w:p>
        </w:tc>
        <w:tc>
          <w:tcPr>
            <w:tcW w:type="dxa" w:w="129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Kurang Bayar</w:t>
            </w:r>
          </w:p>
        </w:tc>
        <w:tc>
          <w:tcPr>
            <w:tcW w:type="dxa" w:w="115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Sanksi KUP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Tagihan</w:t>
            </w:r>
          </w:p>
        </w:tc>
      </w:tr>
      <w:tr>
        <w:tc>
          <w:tcPr>
            <w:tcW w:type="dxa" w:w="2592"/>
            <w:shd w:fill="F9FAFB" w:val="clear"/>
          </w:tcPr>
          <w:p>
            <w:pPr>
              <w:jc w:val="left"/>
            </w:pPr>
            <w:r>
              <w:rPr>
                <w:sz w:val="17"/>
              </w:rPr>
              <w:t>PPN Penyerahan Apotek &amp; Supermarket</w:t>
            </w:r>
          </w:p>
        </w:tc>
        <w:tc>
          <w:tcPr>
            <w:tcW w:type="dxa" w:w="1296"/>
            <w:shd w:fill="F9FAFB" w:val="clear"/>
          </w:tcPr>
          <w:p>
            <w:pPr>
              <w:jc w:val="right"/>
            </w:pPr>
            <w:r>
              <w:rPr>
                <w:sz w:val="17"/>
              </w:rPr>
              <w:t>Rp 5.252.252.252</w:t>
            </w:r>
          </w:p>
        </w:tc>
        <w:tc>
          <w:tcPr>
            <w:tcW w:type="dxa" w:w="1296"/>
            <w:shd w:fill="F9FAFB" w:val="clear"/>
          </w:tcPr>
          <w:p>
            <w:pPr>
              <w:jc w:val="right"/>
            </w:pPr>
            <w:r>
              <w:rPr>
                <w:sz w:val="17"/>
              </w:rPr>
              <w:t>Rp 5.648.648.649</w:t>
            </w:r>
          </w:p>
        </w:tc>
        <w:tc>
          <w:tcPr>
            <w:tcW w:type="dxa" w:w="1296"/>
            <w:shd w:fill="F9FAFB" w:val="clear"/>
          </w:tcPr>
          <w:p>
            <w:pPr>
              <w:jc w:val="right"/>
            </w:pPr>
            <w:r>
              <w:rPr>
                <w:sz w:val="17"/>
              </w:rPr>
              <w:t>Rp 396.396.396</w:t>
            </w:r>
          </w:p>
        </w:tc>
        <w:tc>
          <w:tcPr>
            <w:tcW w:type="dxa" w:w="1152"/>
            <w:shd w:fill="F9FAFB" w:val="clear"/>
          </w:tcPr>
          <w:p>
            <w:pPr>
              <w:jc w:val="right"/>
            </w:pPr>
            <w:r>
              <w:rPr>
                <w:sz w:val="17"/>
              </w:rPr>
              <w:t>Rp 55.495.495</w:t>
            </w:r>
          </w:p>
        </w:tc>
        <w:tc>
          <w:tcPr>
            <w:tcW w:type="dxa" w:w="1728"/>
            <w:shd w:fill="F9FAFB" w:val="clear"/>
          </w:tcPr>
          <w:p>
            <w:pPr>
              <w:jc w:val="right"/>
            </w:pPr>
            <w:r>
              <w:rPr>
                <w:sz w:val="17"/>
              </w:rPr>
              <w:t>Rp 451.891.892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PPh Pasal 21 Dokter &amp; Apoteker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Rp 48.000.000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Rp 103.500.000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Rp 55.500.000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sz w:val="17"/>
              </w:rPr>
              <w:t>Rp 7.770.000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Rp 63.270.000</w:t>
            </w:r>
          </w:p>
        </w:tc>
      </w:tr>
      <w:tr>
        <w:tc>
          <w:tcPr>
            <w:tcW w:type="dxa" w:w="2592"/>
            <w:shd w:fill="F9FAFB" w:val="clear"/>
          </w:tcPr>
          <w:p>
            <w:pPr>
              <w:jc w:val="left"/>
            </w:pPr>
            <w:r>
              <w:rPr>
                <w:sz w:val="17"/>
              </w:rPr>
              <w:t>PPh Pasal 23 KSO Alat Cek Medis</w:t>
            </w:r>
          </w:p>
        </w:tc>
        <w:tc>
          <w:tcPr>
            <w:tcW w:type="dxa" w:w="1296"/>
            <w:shd w:fill="F9FAFB" w:val="clear"/>
          </w:tcPr>
          <w:p>
            <w:pPr>
              <w:jc w:val="right"/>
            </w:pPr>
            <w:r>
              <w:rPr>
                <w:sz w:val="17"/>
              </w:rPr>
              <w:t>Rp 3.000.000</w:t>
            </w:r>
          </w:p>
        </w:tc>
        <w:tc>
          <w:tcPr>
            <w:tcW w:type="dxa" w:w="1296"/>
            <w:shd w:fill="F9FAFB" w:val="clear"/>
          </w:tcPr>
          <w:p>
            <w:pPr>
              <w:jc w:val="right"/>
            </w:pPr>
            <w:r>
              <w:rPr>
                <w:sz w:val="17"/>
              </w:rPr>
              <w:t>Rp 8.000.000</w:t>
            </w:r>
          </w:p>
        </w:tc>
        <w:tc>
          <w:tcPr>
            <w:tcW w:type="dxa" w:w="1296"/>
            <w:shd w:fill="F9FAFB" w:val="clear"/>
          </w:tcPr>
          <w:p>
            <w:pPr>
              <w:jc w:val="right"/>
            </w:pPr>
            <w:r>
              <w:rPr>
                <w:sz w:val="17"/>
              </w:rPr>
              <w:t>Rp 5.000.000</w:t>
            </w:r>
          </w:p>
        </w:tc>
        <w:tc>
          <w:tcPr>
            <w:tcW w:type="dxa" w:w="1152"/>
            <w:shd w:fill="F9FAFB" w:val="clear"/>
          </w:tcPr>
          <w:p>
            <w:pPr>
              <w:jc w:val="right"/>
            </w:pPr>
            <w:r>
              <w:rPr>
                <w:sz w:val="17"/>
              </w:rPr>
              <w:t>Rp 700.000</w:t>
            </w:r>
          </w:p>
        </w:tc>
        <w:tc>
          <w:tcPr>
            <w:tcW w:type="dxa" w:w="1728"/>
            <w:shd w:fill="F9FAFB" w:val="clear"/>
          </w:tcPr>
          <w:p>
            <w:pPr>
              <w:jc w:val="right"/>
            </w:pPr>
            <w:r>
              <w:rPr>
                <w:sz w:val="17"/>
              </w:rPr>
              <w:t>Rp 5.700.000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7"/>
              </w:rPr>
              <w:t>PPh Pasal 4(2) Sewa Booth Apotek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Rp 15.000.000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Rp 45.000.000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sz w:val="17"/>
              </w:rPr>
              <w:t>Rp 30.000.000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sz w:val="17"/>
              </w:rPr>
              <w:t>Rp 4.200.000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Rp 34.200.000</w:t>
            </w:r>
          </w:p>
        </w:tc>
      </w:tr>
      <w:tr>
        <w:tc>
          <w:tcPr>
            <w:tcW w:type="dxa" w:w="2592"/>
            <w:shd w:fill="F9FAFB" w:val="clear"/>
          </w:tcPr>
          <w:p>
            <w:pPr>
              <w:jc w:val="left"/>
            </w:pPr>
            <w:r>
              <w:rPr>
                <w:sz w:val="17"/>
              </w:rPr>
              <w:t>PPh Badan (Tahunan 2025)</w:t>
            </w:r>
          </w:p>
        </w:tc>
        <w:tc>
          <w:tcPr>
            <w:tcW w:type="dxa" w:w="1296"/>
            <w:shd w:fill="F9FAFB" w:val="clear"/>
          </w:tcPr>
          <w:p>
            <w:pPr>
              <w:jc w:val="right"/>
            </w:pPr>
            <w:r>
              <w:rPr>
                <w:sz w:val="17"/>
              </w:rPr>
              <w:t>(Rp 1.925.000.000)</w:t>
            </w:r>
          </w:p>
        </w:tc>
        <w:tc>
          <w:tcPr>
            <w:tcW w:type="dxa" w:w="1296"/>
            <w:shd w:fill="F9FAFB" w:val="clear"/>
          </w:tcPr>
          <w:p>
            <w:pPr>
              <w:jc w:val="right"/>
            </w:pPr>
            <w:r>
              <w:rPr>
                <w:sz w:val="17"/>
              </w:rPr>
              <w:t>Rp 770.000.000</w:t>
            </w:r>
          </w:p>
        </w:tc>
        <w:tc>
          <w:tcPr>
            <w:tcW w:type="dxa" w:w="1296"/>
            <w:shd w:fill="F9FAFB" w:val="clear"/>
          </w:tcPr>
          <w:p>
            <w:pPr>
              <w:jc w:val="right"/>
            </w:pPr>
            <w:r>
              <w:rPr>
                <w:sz w:val="17"/>
              </w:rPr>
              <w:t>Rp 2.695.000.000</w:t>
            </w:r>
          </w:p>
        </w:tc>
        <w:tc>
          <w:tcPr>
            <w:tcW w:type="dxa" w:w="1152"/>
            <w:shd w:fill="F9FAFB" w:val="clear"/>
          </w:tcPr>
          <w:p>
            <w:pPr>
              <w:jc w:val="right"/>
            </w:pPr>
            <w:r>
              <w:rPr>
                <w:sz w:val="17"/>
              </w:rPr>
              <w:t>Rp 53.900.000</w:t>
            </w:r>
          </w:p>
        </w:tc>
        <w:tc>
          <w:tcPr>
            <w:tcW w:type="dxa" w:w="1728"/>
            <w:shd w:fill="F9FAFB" w:val="clear"/>
          </w:tcPr>
          <w:p>
            <w:pPr>
              <w:jc w:val="right"/>
            </w:pPr>
            <w:r>
              <w:rPr>
                <w:sz w:val="17"/>
              </w:rPr>
              <w:t>Rp 2.748.900.000</w:t>
            </w:r>
          </w:p>
        </w:tc>
      </w:tr>
    </w:tbl>
    <w:p/>
    <w:p>
      <w:pPr>
        <w:pStyle w:val="Heading1"/>
      </w:pPr>
      <w:r>
        <w:rPr>
          <w:color w:val="1F4E79"/>
        </w:rPr>
        <w:t>3. MATRIKS EVALUASI COSO INTERNAL CONTROL &amp; REKOMENDASI 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Defisiensi Pengendalian Internal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Risiko Perpajakan &amp; Hukum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Rekomendasi IT &amp; System Integration</w:t>
            </w:r>
          </w:p>
        </w:tc>
      </w:tr>
      <w:tr>
        <w:tc>
          <w:tcPr>
            <w:tcW w:type="dxa" w:w="2880"/>
            <w:shd w:fill="F9FAFB" w:val="clear"/>
          </w:tcPr>
          <w:p>
            <w:r>
              <w:rPr>
                <w:sz w:val="17"/>
              </w:rPr>
              <w:t>POS Supermarket &amp; Software Apotek berdiri terpisah tanpa API Middleware ke ERP.</w:t>
            </w:r>
          </w:p>
        </w:tc>
        <w:tc>
          <w:tcPr>
            <w:tcW w:type="dxa" w:w="2880"/>
            <w:shd w:fill="F9FAFB" w:val="clear"/>
          </w:tcPr>
          <w:p>
            <w:r>
              <w:rPr>
                <w:sz w:val="17"/>
              </w:rPr>
              <w:t>Penjualan obat resep terlewat dari e-Faktur PPN, memicu SKPKB &amp; Sanksi KUP.</w:t>
            </w:r>
          </w:p>
        </w:tc>
        <w:tc>
          <w:tcPr>
            <w:tcW w:type="dxa" w:w="3600"/>
            <w:shd w:fill="F9FAFB" w:val="clear"/>
          </w:tcPr>
          <w:p>
            <w:r>
              <w:rPr>
                <w:sz w:val="17"/>
              </w:rPr>
              <w:t>Implementasi Middleware Bridging API otomatis dari POS Apotek ke ERP SAP B1 &amp; DJP H2H e-Faktur 4.0.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Master data item obat tidak memiliki Tax Flag (BKP vs Non-BKP).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Salah hitung DPP PPN Gross-Up (100/111) pada kasir Apotek OTC.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Pembaruan master data obat dengan otomatisasi flag PPN 11% dan auto-calculate DPP Gross-Up.</w:t>
            </w:r>
          </w:p>
        </w:tc>
      </w:tr>
      <w:tr>
        <w:tc>
          <w:tcPr>
            <w:tcW w:type="dxa" w:w="2880"/>
            <w:shd w:fill="F9FAFB" w:val="clear"/>
          </w:tcPr>
          <w:p>
            <w:r>
              <w:rPr>
                <w:sz w:val="17"/>
              </w:rPr>
              <w:t>Ketiadaan modul e-Bupot Unifikasi otomatis pada pembayaran KSO &amp; Sewa.</w:t>
            </w:r>
          </w:p>
        </w:tc>
        <w:tc>
          <w:tcPr>
            <w:tcW w:type="dxa" w:w="2880"/>
            <w:shd w:fill="F9FAFB" w:val="clear"/>
          </w:tcPr>
          <w:p>
            <w:r>
              <w:rPr>
                <w:sz w:val="17"/>
              </w:rPr>
              <w:t>Potensi keterlambatan pemotongan PPh 23 &amp; PPh 4(2) serta denda admin.</w:t>
            </w:r>
          </w:p>
        </w:tc>
        <w:tc>
          <w:tcPr>
            <w:tcW w:type="dxa" w:w="3600"/>
            <w:shd w:fill="F9FAFB" w:val="clear"/>
          </w:tcPr>
          <w:p>
            <w:r>
              <w:rPr>
                <w:sz w:val="17"/>
              </w:rPr>
              <w:t>Integrasi modul AP (Accounts Payable) ERP dengan DJP e-Bupot Unifikasi API.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