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0"/>
        </w:rPr>
        <w:t>LAPORAN DOKUMEN REALITAS SIMULASI AUDIT PERPAJAKAN DAN SISTEM</w:t>
      </w:r>
    </w:p>
    <w:p>
      <w:pPr>
        <w:spacing w:after="480"/>
        <w:jc w:val="center"/>
      </w:pPr>
      <w:r>
        <w:rPr>
          <w:rFonts w:ascii="Calibri" w:hAnsi="Calibri"/>
          <w:i/>
          <w:color w:val="595959"/>
          <w:sz w:val="24"/>
        </w:rPr>
        <w:t>Studi Kasus Integrasi SIMRS, ERP SAP Business One, dan Kepatuhan Pajak (SP2DK)</w:t>
        <w:br/>
        <w:t>PT Medika Sejahtera Mandiri (RS Medika Sejahtera Tipe B)</w:t>
      </w:r>
    </w:p>
    <w:p>
      <w:pPr>
        <w:keepNext/>
        <w:spacing w:before="360" w:after="120"/>
      </w:pPr>
      <w:r>
        <w:rPr>
          <w:rFonts w:ascii="Calibri" w:hAnsi="Calibri"/>
          <w:b/>
          <w:color w:val="1F497D"/>
          <w:sz w:val="30"/>
        </w:rPr>
        <w:t>1. Profil Entitas &amp; Parameter Simulasi Audit</w:t>
      </w:r>
    </w:p>
    <w:p>
      <w:pPr>
        <w:spacing w:after="120" w:line="276" w:lineRule="auto"/>
      </w:pPr>
      <w:r>
        <w:rPr>
          <w:i w:val="0"/>
          <w:color w:val="262626"/>
        </w:rPr>
        <w:t>Laporan ini menyajikan paket dokumen riil hasil generasi simulasi audit operasional, perpajakan, dan keandalan sistem informasi rumah sakit pada PT Medika Sejahtera Mandiri (RS Medika Sejahtera Tipe B Swasta). Simulasi dirancang mengacu pada spesifikasi 'Universal Multi-Industry Artifact, System &amp; Audit Simulation Generator' dengan fokus pada evaluasi celah integrasi data transaksi.</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shd w:fill="F2F4F7" w:val="clear"/>
          </w:tcPr>
          <w:p>
            <w:pPr>
              <w:spacing w:after="0"/>
            </w:pPr>
            <w:r>
              <w:rPr>
                <w:b/>
                <w:sz w:val="20"/>
              </w:rPr>
              <w:t>Nama Entitas</w:t>
            </w:r>
          </w:p>
        </w:tc>
        <w:tc>
          <w:tcPr>
            <w:tcW w:type="dxa" w:w="6192"/>
            <w:tcMar>
              <w:top w:w="80" w:type="dxa"/>
              <w:bottom w:w="80" w:type="dxa"/>
              <w:left w:w="100" w:type="dxa"/>
              <w:right w:w="100" w:type="dxa"/>
            </w:tcMar>
          </w:tcPr>
          <w:p>
            <w:pPr>
              <w:spacing w:after="0"/>
            </w:pPr>
            <w:r>
              <w:rPr>
                <w:sz w:val="20"/>
              </w:rPr>
              <w:t>PT Medika Sejahtera Mandiri (RS Medika Sejahtera Tipe B)</w:t>
            </w:r>
          </w:p>
        </w:tc>
      </w:tr>
      <w:tr>
        <w:tc>
          <w:tcPr>
            <w:tcW w:type="dxa" w:w="3168"/>
            <w:tcMar>
              <w:top w:w="80" w:type="dxa"/>
              <w:bottom w:w="80" w:type="dxa"/>
              <w:left w:w="100" w:type="dxa"/>
              <w:right w:w="100" w:type="dxa"/>
            </w:tcMar>
            <w:shd w:fill="F2F4F7" w:val="clear"/>
          </w:tcPr>
          <w:p>
            <w:pPr>
              <w:spacing w:after="0"/>
            </w:pPr>
            <w:r>
              <w:rPr>
                <w:b/>
                <w:sz w:val="20"/>
              </w:rPr>
              <w:t>NPWP / NITKU</w:t>
            </w:r>
          </w:p>
        </w:tc>
        <w:tc>
          <w:tcPr>
            <w:tcW w:type="dxa" w:w="6192"/>
            <w:tcMar>
              <w:top w:w="80" w:type="dxa"/>
              <w:bottom w:w="80" w:type="dxa"/>
              <w:left w:w="100" w:type="dxa"/>
              <w:right w:w="100" w:type="dxa"/>
            </w:tcMar>
          </w:tcPr>
          <w:p>
            <w:pPr>
              <w:spacing w:after="0"/>
            </w:pPr>
            <w:r>
              <w:rPr>
                <w:sz w:val="20"/>
              </w:rPr>
              <w:t>01.345.678.9-012.000 / 0001345678901200000000</w:t>
            </w:r>
          </w:p>
        </w:tc>
      </w:tr>
      <w:tr>
        <w:tc>
          <w:tcPr>
            <w:tcW w:type="dxa" w:w="3168"/>
            <w:tcMar>
              <w:top w:w="80" w:type="dxa"/>
              <w:bottom w:w="80" w:type="dxa"/>
              <w:left w:w="100" w:type="dxa"/>
              <w:right w:w="100" w:type="dxa"/>
            </w:tcMar>
            <w:shd w:fill="F2F4F7" w:val="clear"/>
          </w:tcPr>
          <w:p>
            <w:pPr>
              <w:spacing w:after="0"/>
            </w:pPr>
            <w:r>
              <w:rPr>
                <w:b/>
                <w:sz w:val="20"/>
              </w:rPr>
              <w:t>Masa &amp; Tahun Pajak Audit</w:t>
            </w:r>
          </w:p>
        </w:tc>
        <w:tc>
          <w:tcPr>
            <w:tcW w:type="dxa" w:w="6192"/>
            <w:tcMar>
              <w:top w:w="80" w:type="dxa"/>
              <w:bottom w:w="80" w:type="dxa"/>
              <w:left w:w="100" w:type="dxa"/>
              <w:right w:w="100" w:type="dxa"/>
            </w:tcMar>
          </w:tcPr>
          <w:p>
            <w:pPr>
              <w:spacing w:after="0"/>
            </w:pPr>
            <w:r>
              <w:rPr>
                <w:sz w:val="20"/>
              </w:rPr>
              <w:t>Masa Oktober 2025</w:t>
            </w:r>
          </w:p>
        </w:tc>
      </w:tr>
      <w:tr>
        <w:tc>
          <w:tcPr>
            <w:tcW w:type="dxa" w:w="3168"/>
            <w:tcMar>
              <w:top w:w="80" w:type="dxa"/>
              <w:bottom w:w="80" w:type="dxa"/>
              <w:left w:w="100" w:type="dxa"/>
              <w:right w:w="100" w:type="dxa"/>
            </w:tcMar>
            <w:shd w:fill="F2F4F7" w:val="clear"/>
          </w:tcPr>
          <w:p>
            <w:pPr>
              <w:spacing w:after="0"/>
            </w:pPr>
            <w:r>
              <w:rPr>
                <w:b/>
                <w:sz w:val="20"/>
              </w:rPr>
              <w:t>Arsitektur IT &amp; Data Pipeline</w:t>
            </w:r>
          </w:p>
        </w:tc>
        <w:tc>
          <w:tcPr>
            <w:tcW w:type="dxa" w:w="6192"/>
            <w:tcMar>
              <w:top w:w="80" w:type="dxa"/>
              <w:bottom w:w="80" w:type="dxa"/>
              <w:left w:w="100" w:type="dxa"/>
              <w:right w:w="100" w:type="dxa"/>
            </w:tcMar>
          </w:tcPr>
          <w:p>
            <w:pPr>
              <w:spacing w:after="0"/>
            </w:pPr>
            <w:r>
              <w:rPr>
                <w:sz w:val="20"/>
              </w:rPr>
              <w:t>SIMRS Billing Front-Office -&gt; Middleware API Bridging -&gt; ERP SAP Business One (FI-CO/AP/AR/GL) -&gt; DJP H2H (e-Faktur 4.0 &amp; e-Bupot 21/26/Unifikasi)</w:t>
            </w:r>
          </w:p>
        </w:tc>
      </w:tr>
      <w:tr>
        <w:tc>
          <w:tcPr>
            <w:tcW w:type="dxa" w:w="3168"/>
            <w:tcMar>
              <w:top w:w="80" w:type="dxa"/>
              <w:bottom w:w="80" w:type="dxa"/>
              <w:left w:w="100" w:type="dxa"/>
              <w:right w:w="100" w:type="dxa"/>
            </w:tcMar>
            <w:shd w:fill="F2F4F7" w:val="clear"/>
          </w:tcPr>
          <w:p>
            <w:pPr>
              <w:spacing w:after="0"/>
            </w:pPr>
            <w:r>
              <w:rPr>
                <w:b/>
                <w:sz w:val="20"/>
              </w:rPr>
              <w:t>Tingkat Anomali / Defisiensi</w:t>
            </w:r>
          </w:p>
        </w:tc>
        <w:tc>
          <w:tcPr>
            <w:tcW w:type="dxa" w:w="6192"/>
            <w:tcMar>
              <w:top w:w="80" w:type="dxa"/>
              <w:bottom w:w="80" w:type="dxa"/>
              <w:left w:w="100" w:type="dxa"/>
              <w:right w:w="100" w:type="dxa"/>
            </w:tcMar>
          </w:tcPr>
          <w:p>
            <w:pPr>
              <w:spacing w:after="0"/>
            </w:pPr>
            <w:r>
              <w:rPr>
                <w:sz w:val="20"/>
              </w:rPr>
              <w:t>L2_SYSTEM_INTEGRATION_GAP (Celah Integrasi Middleware &amp; Pengakuan Akuntansi)</w:t>
            </w:r>
          </w:p>
        </w:tc>
      </w:tr>
    </w:tbl>
    <w:p>
      <w:pPr>
        <w:keepNext/>
        <w:spacing w:before="360" w:after="120"/>
      </w:pPr>
      <w:r>
        <w:rPr>
          <w:rFonts w:ascii="Calibri" w:hAnsi="Calibri"/>
          <w:b/>
          <w:color w:val="1F497D"/>
          <w:sz w:val="30"/>
        </w:rPr>
        <w:t>2. Dokumen Korespondensi Resmi Perpajakan</w:t>
      </w:r>
    </w:p>
    <w:p>
      <w:pPr>
        <w:spacing w:after="120" w:line="276" w:lineRule="auto"/>
      </w:pPr>
      <w:r>
        <w:rPr>
          <w:i w:val="0"/>
          <w:color w:val="262626"/>
        </w:rPr>
        <w:t>Berikut adalah salinan riil naskah resmi korespondensi perpajakan antara Kantor Pelayanan Pajak (KPP) dan Wajib Pajak.</w:t>
      </w:r>
    </w:p>
    <w:p>
      <w:pPr>
        <w:keepNext/>
        <w:spacing w:before="240" w:after="80"/>
      </w:pPr>
      <w:r>
        <w:rPr>
          <w:rFonts w:ascii="Calibri" w:hAnsi="Calibri"/>
          <w:b/>
          <w:color w:val="1F497D"/>
          <w:sz w:val="26"/>
        </w:rPr>
        <w:t>2.1. Surat SP2DK dari KPP Madya Dua Jakarta Selatan</w:t>
      </w:r>
    </w:p>
    <w:p>
      <w:pPr>
        <w:spacing w:before="120" w:after="240"/>
        <w:ind w:left="288" w:right="288"/>
      </w:pPr>
    </w:p>
    <w:tbl>
      <w:tblPr>
        <w:tblW w:type="auto" w:w="0"/>
        <w:jc w:val="center"/>
        <w:tblLayout w:type="fixed"/>
        <w:tblLook w:firstColumn="1" w:firstRow="1" w:lastColumn="0" w:lastRow="0" w:noHBand="0" w:noVBand="1" w:val="04A0"/>
      </w:tblPr>
      <w:tblGrid>
        <w:gridCol w:w="9360"/>
      </w:tblGrid>
      <w:tr>
        <w:tc>
          <w:tcPr>
            <w:tcW w:type="dxa" w:w="9360"/>
            <w:shd w:fill="FAFAFA" w:val="clear"/>
            <w:tcMar>
              <w:top w:w="120" w:type="dxa"/>
              <w:bottom w:w="120" w:type="dxa"/>
              <w:left w:w="150" w:type="dxa"/>
              <w:right w:w="150" w:type="dxa"/>
            </w:tcMar>
          </w:tcPr>
          <w:p>
            <w:pPr>
              <w:spacing w:after="0"/>
            </w:pPr>
            <w:r>
              <w:rPr>
                <w:rFonts w:ascii="Courier New" w:hAnsi="Courier New"/>
                <w:sz w:val="19"/>
              </w:rPr>
              <w:t>KEMENTERIAN KEUANGAN REPUBLIK INDONESIA</w:t>
              <w:br/>
              <w:t>DIREKTORAT JENDERAL PAJAK - KPP MADYA DUA JAKARTA SELATAN</w:t>
              <w:br/>
              <w:t>Jalan Gatot Subroto No. Kav 40-42, Jakarta Selatan</w:t>
              <w:br/>
              <w:t>----------------------------------------------------------------------------------------</w:t>
              <w:br/>
              <w:t>Nomor   : S-1104/WPJ.07/KP.03/2025                               10 November 2025</w:t>
              <w:br/>
              <w:t>Sifat   : Rahasia</w:t>
              <w:br/>
              <w:t>Hal     : Permintaan Penjelasan atas Data dan/atau Keterangan (SP2DK)</w:t>
              <w:br/>
              <w:br/>
              <w:t>Kepada Yth.</w:t>
              <w:br/>
              <w:t>Direktur PT Medika Sejahtera Mandiri</w:t>
              <w:br/>
              <w:t>Jl. Jend. Sudirman No. 123, Jakarta Selatan</w:t>
              <w:br/>
              <w:br/>
              <w:t>Berdasarkan hasil analisis data perpajakan Masa Pajak Oktober 2025, disampaikan indikasi ketidaksesuaian data sebagai berikut:</w:t>
              <w:br/>
              <w:br/>
              <w:t>1. Ekualisasi Objek PPh Pasal 21 Tenaga Medis:</w:t>
              <w:br/>
              <w:t xml:space="preserve">   Data SIMRS menunjukkan total penerimaan kuitansi layanan tindakan dokter sebesar Rp1.450.000.000. Namun, DPP PPh Pasal 21 yang dilaporkan dalam SPT Masa PPh 21 hanya sebesar Rp1.150.000.000. Terdapat selisih sebesar Rp300.000.000 yang berpotensi merupakan objek PPh Pasal 21 yang belum dipotong.</w:t>
              <w:br/>
              <w:br/>
              <w:t>2. Omzet Penyerahan BKP Farmasi (PPN):</w:t>
              <w:br/>
              <w:t xml:space="preserve">   Data transaksi Apotek Rawat Jalan (OTC) mencatat peredaran bruto sebesar Rp480.000.000, namun DPP e-Faktur yang diterbitkan hanya sebesar Rp180.000.000. Terdapat indikasi penyerahan Barang Kena Pajak sebesar Rp300.000.000 yang belum diterbitkan Faktur Pajak.</w:t>
              <w:br/>
              <w:br/>
              <w:t>Saudara diminta untuk memberikan penjelasan tertulis dan/atau hadir memenuhi undangan klarifikasi dalam jangka waktu 14 (empat belas) hari kerja sejak tanggal surat ini.</w:t>
              <w:br/>
              <w:br/>
              <w:t>Kepala KPP Madya Dua Jakarta Selatan</w:t>
              <w:br/>
              <w:t>(Tanda Tangan &amp; Cap Dinas)</w:t>
            </w:r>
          </w:p>
        </w:tc>
      </w:tr>
    </w:tbl>
    <w:p>
      <w:pPr>
        <w:keepNext/>
        <w:spacing w:before="240" w:after="80"/>
      </w:pPr>
      <w:r>
        <w:rPr>
          <w:rFonts w:ascii="Calibri" w:hAnsi="Calibri"/>
          <w:b/>
          <w:color w:val="1F497D"/>
          <w:sz w:val="26"/>
        </w:rPr>
        <w:t>2.2. Surat Tanggapan Resmi PT Medika Sejahtera Mandiri</w:t>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20" w:type="dxa"/>
              <w:bottom w:w="120" w:type="dxa"/>
              <w:left w:w="150" w:type="dxa"/>
              <w:right w:w="150" w:type="dxa"/>
            </w:tcMar>
          </w:tcPr>
          <w:p>
            <w:pPr>
              <w:spacing w:after="0"/>
            </w:pPr>
            <w:r>
              <w:rPr>
                <w:rFonts w:ascii="Courier New" w:hAnsi="Courier New"/>
                <w:sz w:val="19"/>
              </w:rPr>
              <w:t>PT MEDIKA SEJAHTERA MANDIRI</w:t>
              <w:br/>
              <w:t>Jl. Jend. Sudirman No. 123, Jakarta Selatan | Telp: (021) 555-7890</w:t>
              <w:br/>
              <w:t>========================================================================================</w:t>
              <w:br/>
              <w:t>Nomor   : 088/EXT-TAX/MSM/XI/2025                               20 November 2025</w:t>
              <w:br/>
              <w:t>Lampiran: 1 (satu) Berkas Kertas Kerja Rekonsiliasi</w:t>
              <w:br/>
              <w:t>Hal     : Tanggapan dan Penjelasan Tertulis atas SP2DK No. S-1104/WPJ.07/KP.03/2025</w:t>
              <w:br/>
              <w:br/>
              <w:t>Kepada Yth.</w:t>
              <w:br/>
              <w:t>Kepala Kantor Pelayanan Pajak Madya Dua Jakarta Selatan</w:t>
              <w:br/>
              <w:t>Jalan Gatot Subroto No. Kav 40-42, Jakarta Selatan</w:t>
              <w:br/>
              <w:br/>
              <w:t>Dengan hormat,</w:t>
              <w:br/>
              <w:t>Sehubungan dengan Surat Permintaan Penjelasan atas Data dan/atau Keterangan (SP2DK) Nomor S-1104/WPJ.07/KP.03/2025 tertanggal 10 November 2025, bersama ini kami sampaikan tanggapan dan penjelasan tertulis sebagai berikut:</w:t>
              <w:br/>
              <w:br/>
              <w:t>1. Penjelasan Ekualisasi PPh Pasal 21 Dokter:</w:t>
              <w:br/>
              <w:t xml:space="preserve">   Nilai Rp1.450.000.000 pada kuitansi SIMRS merupakan total tagihan bruto pasien yang memuat dua komponen:</w:t>
              <w:br/>
              <w:t xml:space="preserve">   a. Jasa Medis Murni Hak Dokter : Rp1.150.000.000 (Objek PPh 21 Tenaga Ahli)</w:t>
              <w:br/>
              <w:t xml:space="preserve">   b. Jasa Sarana Rumah Sakit    : Rp  300.000.000 (Pendapatan Usaha RS / Objek PPh Badan)</w:t>
              <w:br/>
              <w:t xml:space="preserve">   Dengan demikian, seluruh Jasa Medis Murni sebesar Rp1.150.000.000 telah masuk dalam dasar pemotongan PPh 21. Tidak ada penghasilan dokter yang terlewat dipotong.</w:t>
              <w:br/>
              <w:br/>
              <w:t>2. Penjelasan Penyerahan PPN Farmasi/Apotek OTC:</w:t>
              <w:br/>
              <w:t xml:space="preserve">   Atas peredaran Apotek OTC sebesar Rp480.000.000 (inklusif PPN):</w:t>
              <w:br/>
              <w:t xml:space="preserve">   a. Nilai Rp180.000.000 telah diterbitkan Faktur Pajak Keluaran secara berkala.</w:t>
              <w:br/>
              <w:t xml:space="preserve">   b. Nilai selisih Rp300.000.000 terjadi akibat keterlambatan antrean sinkronisasi modul API Middleware dari Kasir POS ke Engine e-Faktur H2H.</w:t>
              <w:br/>
              <w:t xml:space="preserve">   Atas keterlambatan tersebut, Perusahaan telah menerbitkan Faktur Pajak susulan dengan DPP Rp270.270.270 dan PPN Rp29.729.730 serta menyetorkan Kurang Bayar PPN dan melakukan Pembetulan SPT Masa PPN Oktober 2025.</w:t>
              <w:br/>
              <w:br/>
              <w:t>Demikian tanggapan ini kami sampaikan. Atas perhatian Bapak/Ibu, kami ucapkan terima kasih.</w:t>
              <w:br/>
              <w:br/>
              <w:t>Hormat kami,</w:t>
              <w:br/>
              <w:t>PT Medika Sejahtera Mandiri</w:t>
              <w:br/>
              <w:br/>
              <w:br/>
              <w:t>dr. Hendrawan Susanto, MARS</w:t>
              <w:br/>
              <w:t>Direktur Utama</w:t>
            </w:r>
          </w:p>
        </w:tc>
      </w:tr>
    </w:tbl>
    <w:p>
      <w:pPr>
        <w:keepNext/>
        <w:spacing w:before="360" w:after="120"/>
      </w:pPr>
      <w:r>
        <w:rPr>
          <w:rFonts w:ascii="Calibri" w:hAnsi="Calibri"/>
          <w:b/>
          <w:color w:val="1F497D"/>
          <w:sz w:val="30"/>
        </w:rPr>
        <w:t>3. Arsitektur Sistem &amp; Diagram Alir Proses (SIMRS - ERP - DJP)</w:t>
      </w:r>
    </w:p>
    <w:p>
      <w:pPr>
        <w:spacing w:after="120" w:line="276" w:lineRule="auto"/>
      </w:pPr>
      <w:r>
        <w:rPr>
          <w:i w:val="0"/>
          <w:color w:val="262626"/>
        </w:rPr>
        <w:t>Integrasi data transaksi pada RS Medika Sejahtera melibatkan empat lapisan sistem. Evaluasi menemukan celah pada lapisan Middleware API Bridging yang memicu kesalahan pemetaan akun GL dan keterlambatan sinkronisasi Faktur Pajak.</w:t>
      </w:r>
    </w:p>
    <w:p>
      <w:pPr>
        <w:keepNext/>
        <w:spacing w:before="240" w:after="80"/>
      </w:pPr>
      <w:r>
        <w:rPr>
          <w:rFonts w:ascii="Calibri" w:hAnsi="Calibri"/>
          <w:b/>
          <w:color w:val="1F497D"/>
          <w:sz w:val="26"/>
        </w:rPr>
        <w:t>3.1. Deskripsi Alur Data &amp; Swimlane Multi-Departemen</w:t>
      </w:r>
    </w:p>
    <w:p>
      <w:pPr>
        <w:spacing w:after="120" w:line="276" w:lineRule="auto"/>
      </w:pPr>
      <w:r>
        <w:rPr>
          <w:b/>
          <w:color w:val="262626"/>
        </w:rPr>
        <w:t xml:space="preserve">• </w:t>
      </w:r>
      <w:r>
        <w:rPr>
          <w:i w:val="0"/>
          <w:color w:val="262626"/>
        </w:rPr>
        <w:t>1. Front-Office (SIMRS Billing): Pasien melakukan registrasi dan menerima pelayanan. Kasir menginput kuitansi tindakan medis dan resep obat.</w:t>
      </w:r>
    </w:p>
    <w:p>
      <w:pPr>
        <w:spacing w:after="120" w:line="276" w:lineRule="auto"/>
      </w:pPr>
      <w:r>
        <w:rPr>
          <w:b/>
          <w:color w:val="262626"/>
        </w:rPr>
        <w:t xml:space="preserve">• </w:t>
      </w:r>
      <w:r>
        <w:rPr>
          <w:i w:val="0"/>
          <w:color w:val="262626"/>
        </w:rPr>
        <w:t>2. Middleware API Bridging Engine: Mengurai (parse) payload JSON transaksi dari SIMRS untuk memisahkan komponen Jasa Medis Dokter vs Jasa Sarana RS, serta mengidentifikasi flag obat BKP (OTC) vs Non-BKP (resep rawat inap/jalan).</w:t>
      </w:r>
    </w:p>
    <w:p>
      <w:pPr>
        <w:spacing w:after="120" w:line="276" w:lineRule="auto"/>
      </w:pPr>
      <w:r>
        <w:rPr>
          <w:b/>
          <w:color w:val="262626"/>
        </w:rPr>
        <w:t xml:space="preserve">• </w:t>
      </w:r>
      <w:r>
        <w:rPr>
          <w:i w:val="0"/>
          <w:color w:val="262626"/>
        </w:rPr>
        <w:t>3. Core ERP (SAP Business One): Menerima data tervalidasi untuk otomatisasi posting Jurnal Penjualan, Akrual Utang Jasa Dokter, Utang PPh 21, dan Utang PPh 23 KSO.</w:t>
      </w:r>
    </w:p>
    <w:p>
      <w:pPr>
        <w:spacing w:after="120" w:line="276" w:lineRule="auto"/>
      </w:pPr>
      <w:r>
        <w:rPr>
          <w:b/>
          <w:color w:val="262626"/>
        </w:rPr>
        <w:t xml:space="preserve">• </w:t>
      </w:r>
      <w:r>
        <w:rPr>
          <w:i w:val="0"/>
          <w:color w:val="262626"/>
        </w:rPr>
        <w:t>4. Sub-Sistem DJP H2H: Menarik data transaksi BKP/JKP untuk membuat Faktur Pajak Keluaran (e-Faktur 4.0) dan Bukti Potong PPh (e-Bupot Unifikasi / 21).</w:t>
      </w:r>
    </w:p>
    <w:p>
      <w:pPr>
        <w:keepNext/>
        <w:spacing w:before="240" w:after="80"/>
      </w:pPr>
      <w:r>
        <w:rPr>
          <w:rFonts w:ascii="Calibri" w:hAnsi="Calibri"/>
          <w:b/>
          <w:color w:val="1F497D"/>
          <w:sz w:val="26"/>
        </w:rPr>
        <w:t>3.2. Representasi Struktur Logic Swimlane Diagram</w:t>
      </w:r>
    </w:p>
    <w:p>
      <w:pPr>
        <w:spacing w:after="120" w:line="276" w:lineRule="auto"/>
      </w:pPr>
      <w:r>
        <w:rPr>
          <w:i w:val="0"/>
          <w:color w:val="262626"/>
        </w:rPr>
        <w:t>Struktur Mermaid.js Diagram Alir Sistem yang dioperasikan oleh Engine:</w:t>
      </w:r>
    </w:p>
    <w:tbl>
      <w:tblPr>
        <w:tblW w:type="auto" w:w="0"/>
        <w:jc w:val="center"/>
        <w:tblLayout w:type="fixed"/>
        <w:tblLook w:firstColumn="1" w:firstRow="1" w:lastColumn="0" w:lastRow="0" w:noHBand="0" w:noVBand="1" w:val="04A0"/>
      </w:tblPr>
      <w:tblGrid>
        <w:gridCol w:w="9360"/>
      </w:tblGrid>
      <w:tr>
        <w:tc>
          <w:tcPr>
            <w:tcW w:type="dxa" w:w="9360"/>
            <w:shd w:fill="F2F4F7" w:val="clear"/>
            <w:tcMar>
              <w:top w:w="100" w:type="dxa"/>
              <w:bottom w:w="100" w:type="dxa"/>
              <w:left w:w="120" w:type="dxa"/>
              <w:right w:w="120" w:type="dxa"/>
            </w:tcMar>
          </w:tcPr>
          <w:p>
            <w:pPr>
              <w:spacing w:after="0"/>
            </w:pPr>
            <w:r>
              <w:rPr>
                <w:rFonts w:ascii="Consolas" w:hAnsi="Consolas"/>
                <w:sz w:val="18"/>
              </w:rPr>
              <w:t>graph TD</w:t>
              <w:br/>
              <w:t xml:space="preserve">  A[Pasien Selesai Layanan] --&gt; B{Jenis Layanan}</w:t>
              <w:br/>
              <w:t xml:space="preserve">  B --&gt;|Rawat Jalan / Inap| C[Input Jasa Dokter &amp; Resep Farmasi]</w:t>
              <w:br/>
              <w:t xml:space="preserve">  B --&gt;|Farmasi Bebas / OTC| D[Kasir Apotek Langsung POS]</w:t>
              <w:br/>
              <w:t xml:space="preserve">  C --&gt; E[SIMRS Billing Engine: Total Tagihan]</w:t>
              <w:br/>
              <w:t xml:space="preserve">  D --&gt; E</w:t>
              <w:br/>
              <w:t xml:space="preserve">  E --&gt; F[Middleware API Bridging: Parse JSON]</w:t>
              <w:br/>
              <w:t xml:space="preserve">  F --&gt; G{Pemisahan Komponen Akuntansi &amp; Pajak}</w:t>
              <w:br/>
              <w:t xml:space="preserve">  G --&gt;|Obat OTC Bebas| H[Flag BKP -&gt; Terutang PPN 11%]</w:t>
              <w:br/>
              <w:t xml:space="preserve">  G --&gt;|Obat Resep Layanan| I[Flag Non-BKP / Bebas PPN]</w:t>
              <w:br/>
              <w:t xml:space="preserve">  G --&gt;|Bagi Hasil Dokter| J[DPP PPh 21 = 50% x Jasa Medis Murni]</w:t>
              <w:br/>
              <w:t xml:space="preserve">  G --&gt;|Sewa KSO Radiologi| K[DPP PPh 23 = 2% x Nilai Sewa]</w:t>
              <w:br/>
              <w:t xml:space="preserve">  H --&gt; L[ERP SAP B1: Posting Jurnal &amp; e-Faktur H2H]</w:t>
              <w:br/>
              <w:t xml:space="preserve">  J --&gt; M[ERP SAP B1: Posting Utang Jasa Dokter &amp; e-Bupot 21]</w:t>
              <w:br/>
              <w:t xml:space="preserve">  K --&gt; N[ERP SAP B1: Posting Beban KSO &amp; e-Bupot Unifikasi]</w:t>
            </w:r>
          </w:p>
        </w:tc>
      </w:tr>
    </w:tbl>
    <w:p>
      <w:pPr>
        <w:keepNext/>
        <w:spacing w:before="360" w:after="120"/>
      </w:pPr>
      <w:r>
        <w:rPr>
          <w:rFonts w:ascii="Calibri" w:hAnsi="Calibri"/>
          <w:b/>
          <w:color w:val="1F497D"/>
          <w:sz w:val="30"/>
        </w:rPr>
        <w:t>4. Kertas Kerja Rekonsiliasi Audit &amp; Ekualisasi Fiskal</w:t>
      </w:r>
    </w:p>
    <w:p>
      <w:pPr>
        <w:spacing w:after="120" w:line="276" w:lineRule="auto"/>
      </w:pPr>
      <w:r>
        <w:rPr>
          <w:i w:val="0"/>
          <w:color w:val="262626"/>
        </w:rPr>
        <w:t>Berikut adalah rincian kalkulasi rekonsiliasi audit perpajakan berdasarkan hasil pemeriksaan ulang tim auditor terhadap data transaksi Masa Oktober 2025.</w:t>
      </w:r>
    </w:p>
    <w:p>
      <w:pPr>
        <w:keepNext/>
        <w:spacing w:before="240" w:after="80"/>
      </w:pPr>
      <w:r>
        <w:rPr>
          <w:rFonts w:ascii="Calibri" w:hAnsi="Calibri"/>
          <w:b/>
          <w:color w:val="1F497D"/>
          <w:sz w:val="26"/>
        </w:rPr>
        <w:t>4.1. Ekualisasi PPh Pasal 21 Tenaga Medis (Dokter Praktik)</w:t>
      </w:r>
    </w:p>
    <w:p>
      <w:pPr>
        <w:spacing w:after="120" w:line="276" w:lineRule="auto"/>
      </w:pPr>
      <w:r>
        <w:rPr>
          <w:i w:val="0"/>
          <w:color w:val="262626"/>
        </w:rPr>
        <w:t>Sesuai PER-16/PJ/2016 jo. PP 58/2023, Dasar Pemotongan Pajak (DPP) PPh 21 Dokter Praktik adalah 50% dari Jasa Medis Bruto.</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val="clear"/>
            <w:tcMar>
              <w:top w:w="100" w:type="dxa"/>
              <w:bottom w:w="100" w:type="dxa"/>
              <w:left w:w="100" w:type="dxa"/>
              <w:right w:w="100" w:type="dxa"/>
            </w:tcMar>
          </w:tcPr>
          <w:p>
            <w:pPr>
              <w:spacing w:after="0"/>
            </w:pPr>
            <w:r>
              <w:rPr>
                <w:b/>
                <w:color w:val="FFFFFF"/>
                <w:sz w:val="20"/>
              </w:rPr>
              <w:t>Komponen Transaksi</w:t>
            </w:r>
          </w:p>
        </w:tc>
        <w:tc>
          <w:tcPr>
            <w:tcW w:type="dxa" w:w="3120"/>
            <w:shd w:fill="1F497D" w:val="clear"/>
            <w:tcMar>
              <w:top w:w="100" w:type="dxa"/>
              <w:bottom w:w="100" w:type="dxa"/>
              <w:left w:w="100" w:type="dxa"/>
              <w:right w:w="100" w:type="dxa"/>
            </w:tcMar>
          </w:tcPr>
          <w:p>
            <w:pPr>
              <w:spacing w:after="0"/>
            </w:pPr>
            <w:r>
              <w:rPr>
                <w:b/>
                <w:color w:val="FFFFFF"/>
                <w:sz w:val="20"/>
              </w:rPr>
              <w:t>Nilai Menurut SIMRS / SPT</w:t>
            </w:r>
          </w:p>
        </w:tc>
        <w:tc>
          <w:tcPr>
            <w:tcW w:type="dxa" w:w="3120"/>
            <w:shd w:fill="1F497D" w:val="clear"/>
            <w:tcMar>
              <w:top w:w="100" w:type="dxa"/>
              <w:bottom w:w="100" w:type="dxa"/>
              <w:left w:w="100" w:type="dxa"/>
              <w:right w:w="100" w:type="dxa"/>
            </w:tcMar>
          </w:tcPr>
          <w:p>
            <w:pPr>
              <w:spacing w:after="0"/>
            </w:pPr>
            <w:r>
              <w:rPr>
                <w:b/>
                <w:color w:val="FFFFFF"/>
                <w:sz w:val="20"/>
              </w:rPr>
              <w:t>Nilai Rekonsiliasi Audit</w:t>
            </w:r>
          </w:p>
        </w:tc>
      </w:tr>
      <w:tr>
        <w:tc>
          <w:tcPr>
            <w:tcW w:type="dxa" w:w="4608"/>
            <w:tcMar>
              <w:top w:w="80" w:type="dxa"/>
              <w:bottom w:w="80" w:type="dxa"/>
              <w:left w:w="100" w:type="dxa"/>
              <w:right w:w="100" w:type="dxa"/>
            </w:tcMar>
            <w:shd w:fill="F9FAFC" w:val="clear"/>
          </w:tcPr>
          <w:p>
            <w:pPr>
              <w:spacing w:after="0"/>
            </w:pPr>
            <w:r>
              <w:rPr>
                <w:sz w:val="19"/>
              </w:rPr>
              <w:t>Total Kuitansi Billing SIMRS</w:t>
            </w:r>
          </w:p>
        </w:tc>
        <w:tc>
          <w:tcPr>
            <w:tcW w:type="dxa" w:w="2376"/>
            <w:tcMar>
              <w:top w:w="80" w:type="dxa"/>
              <w:bottom w:w="80" w:type="dxa"/>
              <w:left w:w="100" w:type="dxa"/>
              <w:right w:w="100" w:type="dxa"/>
            </w:tcMar>
            <w:shd w:fill="F9FAFC" w:val="clear"/>
          </w:tcPr>
          <w:p>
            <w:pPr>
              <w:spacing w:after="0"/>
            </w:pPr>
            <w:r>
              <w:rPr>
                <w:sz w:val="19"/>
              </w:rPr>
              <w:t>Rp 1.450.000.000</w:t>
            </w:r>
          </w:p>
        </w:tc>
        <w:tc>
          <w:tcPr>
            <w:tcW w:type="dxa" w:w="2376"/>
            <w:tcMar>
              <w:top w:w="80" w:type="dxa"/>
              <w:bottom w:w="80" w:type="dxa"/>
              <w:left w:w="100" w:type="dxa"/>
              <w:right w:w="100" w:type="dxa"/>
            </w:tcMar>
            <w:shd w:fill="F9FAFC" w:val="clear"/>
          </w:tcPr>
          <w:p>
            <w:pPr>
              <w:spacing w:after="0"/>
            </w:pPr>
            <w:r>
              <w:rPr>
                <w:sz w:val="19"/>
              </w:rPr>
              <w:t>Rp 1.450.000.000</w:t>
            </w:r>
          </w:p>
        </w:tc>
      </w:tr>
      <w:tr>
        <w:tc>
          <w:tcPr>
            <w:tcW w:type="dxa" w:w="4608"/>
            <w:tcMar>
              <w:top w:w="80" w:type="dxa"/>
              <w:bottom w:w="80" w:type="dxa"/>
              <w:left w:w="100" w:type="dxa"/>
              <w:right w:w="100" w:type="dxa"/>
            </w:tcMar>
          </w:tcPr>
          <w:p>
            <w:pPr>
              <w:spacing w:after="0"/>
            </w:pPr>
            <w:r>
              <w:rPr>
                <w:sz w:val="19"/>
              </w:rPr>
              <w:t>Komponen Jasa Sarana RS (Bukan Hak Dokter)</w:t>
            </w:r>
          </w:p>
        </w:tc>
        <w:tc>
          <w:tcPr>
            <w:tcW w:type="dxa" w:w="2376"/>
            <w:tcMar>
              <w:top w:w="80" w:type="dxa"/>
              <w:bottom w:w="80" w:type="dxa"/>
              <w:left w:w="100" w:type="dxa"/>
              <w:right w:w="100" w:type="dxa"/>
            </w:tcMar>
          </w:tcPr>
          <w:p>
            <w:pPr>
              <w:spacing w:after="0"/>
            </w:pPr>
            <w:r>
              <w:rPr>
                <w:sz w:val="19"/>
              </w:rPr>
              <w:t>Rp 0 (Tidak Terpisah)</w:t>
            </w:r>
          </w:p>
        </w:tc>
        <w:tc>
          <w:tcPr>
            <w:tcW w:type="dxa" w:w="2376"/>
            <w:tcMar>
              <w:top w:w="80" w:type="dxa"/>
              <w:bottom w:w="80" w:type="dxa"/>
              <w:left w:w="100" w:type="dxa"/>
              <w:right w:w="100" w:type="dxa"/>
            </w:tcMar>
          </w:tcPr>
          <w:p>
            <w:pPr>
              <w:spacing w:after="0"/>
            </w:pPr>
            <w:r>
              <w:rPr>
                <w:sz w:val="19"/>
              </w:rPr>
              <w:t>Rp 300.000.000</w:t>
            </w:r>
          </w:p>
        </w:tc>
      </w:tr>
      <w:tr>
        <w:tc>
          <w:tcPr>
            <w:tcW w:type="dxa" w:w="4608"/>
            <w:tcMar>
              <w:top w:w="80" w:type="dxa"/>
              <w:bottom w:w="80" w:type="dxa"/>
              <w:left w:w="100" w:type="dxa"/>
              <w:right w:w="100" w:type="dxa"/>
            </w:tcMar>
            <w:shd w:fill="F9FAFC" w:val="clear"/>
          </w:tcPr>
          <w:p>
            <w:pPr>
              <w:spacing w:after="0"/>
            </w:pPr>
            <w:r>
              <w:rPr>
                <w:sz w:val="19"/>
              </w:rPr>
              <w:t>Jasa Medis Murni Hak Dokter</w:t>
            </w:r>
          </w:p>
        </w:tc>
        <w:tc>
          <w:tcPr>
            <w:tcW w:type="dxa" w:w="2376"/>
            <w:tcMar>
              <w:top w:w="80" w:type="dxa"/>
              <w:bottom w:w="80" w:type="dxa"/>
              <w:left w:w="100" w:type="dxa"/>
              <w:right w:w="100" w:type="dxa"/>
            </w:tcMar>
            <w:shd w:fill="F9FAFC" w:val="clear"/>
          </w:tcPr>
          <w:p>
            <w:pPr>
              <w:spacing w:after="0"/>
            </w:pPr>
            <w:r>
              <w:rPr>
                <w:sz w:val="19"/>
              </w:rPr>
              <w:t>Rp 1.450.000.000</w:t>
            </w:r>
          </w:p>
        </w:tc>
        <w:tc>
          <w:tcPr>
            <w:tcW w:type="dxa" w:w="2376"/>
            <w:tcMar>
              <w:top w:w="80" w:type="dxa"/>
              <w:bottom w:w="80" w:type="dxa"/>
              <w:left w:w="100" w:type="dxa"/>
              <w:right w:w="100" w:type="dxa"/>
            </w:tcMar>
            <w:shd w:fill="F9FAFC" w:val="clear"/>
          </w:tcPr>
          <w:p>
            <w:pPr>
              <w:spacing w:after="0"/>
            </w:pPr>
            <w:r>
              <w:rPr>
                <w:sz w:val="19"/>
              </w:rPr>
              <w:t>Rp 1.150.000.000</w:t>
            </w:r>
          </w:p>
        </w:tc>
      </w:tr>
      <w:tr>
        <w:tc>
          <w:tcPr>
            <w:tcW w:type="dxa" w:w="4608"/>
            <w:tcMar>
              <w:top w:w="80" w:type="dxa"/>
              <w:bottom w:w="80" w:type="dxa"/>
              <w:left w:w="100" w:type="dxa"/>
              <w:right w:w="100" w:type="dxa"/>
            </w:tcMar>
          </w:tcPr>
          <w:p>
            <w:pPr>
              <w:spacing w:after="0"/>
            </w:pPr>
            <w:r>
              <w:rPr>
                <w:sz w:val="19"/>
              </w:rPr>
              <w:t>Dasar Pemotongan Pajak (DPP PPh 21 = 50%)</w:t>
            </w:r>
          </w:p>
        </w:tc>
        <w:tc>
          <w:tcPr>
            <w:tcW w:type="dxa" w:w="2376"/>
            <w:tcMar>
              <w:top w:w="80" w:type="dxa"/>
              <w:bottom w:w="80" w:type="dxa"/>
              <w:left w:w="100" w:type="dxa"/>
              <w:right w:w="100" w:type="dxa"/>
            </w:tcMar>
          </w:tcPr>
          <w:p>
            <w:pPr>
              <w:spacing w:after="0"/>
            </w:pPr>
            <w:r>
              <w:rPr>
                <w:sz w:val="19"/>
              </w:rPr>
              <w:t>Rp 1.150.000.000 (Salah 100%)</w:t>
            </w:r>
          </w:p>
        </w:tc>
        <w:tc>
          <w:tcPr>
            <w:tcW w:type="dxa" w:w="2376"/>
            <w:tcMar>
              <w:top w:w="80" w:type="dxa"/>
              <w:bottom w:w="80" w:type="dxa"/>
              <w:left w:w="100" w:type="dxa"/>
              <w:right w:w="100" w:type="dxa"/>
            </w:tcMar>
          </w:tcPr>
          <w:p>
            <w:pPr>
              <w:spacing w:after="0"/>
            </w:pPr>
            <w:r>
              <w:rPr>
                <w:sz w:val="19"/>
              </w:rPr>
              <w:t>Rp 575.000.000</w:t>
            </w:r>
          </w:p>
        </w:tc>
      </w:tr>
      <w:tr>
        <w:tc>
          <w:tcPr>
            <w:tcW w:type="dxa" w:w="4608"/>
            <w:tcMar>
              <w:top w:w="80" w:type="dxa"/>
              <w:bottom w:w="80" w:type="dxa"/>
              <w:left w:w="100" w:type="dxa"/>
              <w:right w:w="100" w:type="dxa"/>
            </w:tcMar>
            <w:shd w:fill="F9FAFC" w:val="clear"/>
          </w:tcPr>
          <w:p>
            <w:pPr>
              <w:spacing w:after="0"/>
            </w:pPr>
            <w:r>
              <w:rPr>
                <w:sz w:val="19"/>
              </w:rPr>
              <w:t>PPh 21 Terutang (Estimasi Tarif Efektif/Progresif)</w:t>
            </w:r>
          </w:p>
        </w:tc>
        <w:tc>
          <w:tcPr>
            <w:tcW w:type="dxa" w:w="2376"/>
            <w:tcMar>
              <w:top w:w="80" w:type="dxa"/>
              <w:bottom w:w="80" w:type="dxa"/>
              <w:left w:w="100" w:type="dxa"/>
              <w:right w:w="100" w:type="dxa"/>
            </w:tcMar>
            <w:shd w:fill="F9FAFC" w:val="clear"/>
          </w:tcPr>
          <w:p>
            <w:pPr>
              <w:spacing w:after="0"/>
            </w:pPr>
            <w:r>
              <w:rPr>
                <w:sz w:val="19"/>
              </w:rPr>
              <w:t>Rp 86.250.000</w:t>
            </w:r>
          </w:p>
        </w:tc>
        <w:tc>
          <w:tcPr>
            <w:tcW w:type="dxa" w:w="2376"/>
            <w:tcMar>
              <w:top w:w="80" w:type="dxa"/>
              <w:bottom w:w="80" w:type="dxa"/>
              <w:left w:w="100" w:type="dxa"/>
              <w:right w:w="100" w:type="dxa"/>
            </w:tcMar>
            <w:shd w:fill="F9FAFC" w:val="clear"/>
          </w:tcPr>
          <w:p>
            <w:pPr>
              <w:spacing w:after="0"/>
            </w:pPr>
            <w:r>
              <w:rPr>
                <w:sz w:val="19"/>
              </w:rPr>
              <w:t>Rp 86.250.000</w:t>
            </w:r>
          </w:p>
        </w:tc>
      </w:tr>
    </w:tbl>
    <w:p>
      <w:pPr>
        <w:keepNext/>
        <w:spacing w:before="240" w:after="80"/>
      </w:pPr>
      <w:r>
        <w:rPr>
          <w:rFonts w:ascii="Calibri" w:hAnsi="Calibri"/>
          <w:b/>
          <w:color w:val="1F497D"/>
          <w:sz w:val="26"/>
        </w:rPr>
        <w:t>4.2. Rekonsiliasi PPN Penyerahan BKP Farmasi (Apotek OTC)</w:t>
      </w:r>
    </w:p>
    <w:p>
      <w:pPr>
        <w:spacing w:after="120" w:line="276" w:lineRule="auto"/>
      </w:pPr>
      <w:r>
        <w:rPr>
          <w:i w:val="0"/>
          <w:color w:val="262626"/>
        </w:rPr>
        <w:t>Penjualan obat bebas (OTC) tanpa resep dokter merupakan Penyerahan BKP yang terutang PPN 11% (penghitungan DPP Gross-up = 100/111 x Total Omzet Bruto).</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val="clear"/>
            <w:tcMar>
              <w:top w:w="100" w:type="dxa"/>
              <w:bottom w:w="100" w:type="dxa"/>
              <w:left w:w="100" w:type="dxa"/>
              <w:right w:w="100" w:type="dxa"/>
            </w:tcMar>
          </w:tcPr>
          <w:p>
            <w:pPr>
              <w:spacing w:after="0"/>
            </w:pPr>
            <w:r>
              <w:rPr>
                <w:b/>
                <w:color w:val="FFFFFF"/>
                <w:sz w:val="20"/>
              </w:rPr>
              <w:t>Rincian Komponen PPN OTC</w:t>
            </w:r>
          </w:p>
        </w:tc>
        <w:tc>
          <w:tcPr>
            <w:tcW w:type="dxa" w:w="3120"/>
            <w:shd w:fill="1F497D" w:val="clear"/>
            <w:tcMar>
              <w:top w:w="100" w:type="dxa"/>
              <w:bottom w:w="100" w:type="dxa"/>
              <w:left w:w="100" w:type="dxa"/>
              <w:right w:w="100" w:type="dxa"/>
            </w:tcMar>
          </w:tcPr>
          <w:p>
            <w:pPr>
              <w:spacing w:after="0"/>
            </w:pPr>
            <w:r>
              <w:rPr>
                <w:b/>
                <w:color w:val="FFFFFF"/>
                <w:sz w:val="20"/>
              </w:rPr>
              <w:t>Dilaporkan awal (SPT)</w:t>
            </w:r>
          </w:p>
        </w:tc>
        <w:tc>
          <w:tcPr>
            <w:tcW w:type="dxa" w:w="3120"/>
            <w:shd w:fill="1F497D" w:val="clear"/>
            <w:tcMar>
              <w:top w:w="100" w:type="dxa"/>
              <w:bottom w:w="100" w:type="dxa"/>
              <w:left w:w="100" w:type="dxa"/>
              <w:right w:w="100" w:type="dxa"/>
            </w:tcMar>
          </w:tcPr>
          <w:p>
            <w:pPr>
              <w:spacing w:after="0"/>
            </w:pPr>
            <w:r>
              <w:rPr>
                <w:b/>
                <w:color w:val="FFFFFF"/>
                <w:sz w:val="20"/>
              </w:rPr>
              <w:t>Hasil Audit / Correksi</w:t>
            </w:r>
          </w:p>
        </w:tc>
      </w:tr>
      <w:tr>
        <w:tc>
          <w:tcPr>
            <w:tcW w:type="dxa" w:w="4608"/>
            <w:tcMar>
              <w:top w:w="80" w:type="dxa"/>
              <w:bottom w:w="80" w:type="dxa"/>
              <w:left w:w="100" w:type="dxa"/>
              <w:right w:w="100" w:type="dxa"/>
            </w:tcMar>
            <w:shd w:fill="F9FAFC" w:val="clear"/>
          </w:tcPr>
          <w:p>
            <w:pPr>
              <w:spacing w:after="0"/>
            </w:pPr>
            <w:r>
              <w:rPr>
                <w:sz w:val="19"/>
              </w:rPr>
              <w:t>Total Omzet Apotek OTC (Inklusif PPN)</w:t>
            </w:r>
          </w:p>
        </w:tc>
        <w:tc>
          <w:tcPr>
            <w:tcW w:type="dxa" w:w="2376"/>
            <w:tcMar>
              <w:top w:w="80" w:type="dxa"/>
              <w:bottom w:w="80" w:type="dxa"/>
              <w:left w:w="100" w:type="dxa"/>
              <w:right w:w="100" w:type="dxa"/>
            </w:tcMar>
            <w:shd w:fill="F9FAFC" w:val="clear"/>
          </w:tcPr>
          <w:p>
            <w:pPr>
              <w:spacing w:after="0"/>
            </w:pPr>
            <w:r>
              <w:rPr>
                <w:sz w:val="19"/>
              </w:rPr>
              <w:t>Rp 180.000.000</w:t>
            </w:r>
          </w:p>
        </w:tc>
        <w:tc>
          <w:tcPr>
            <w:tcW w:type="dxa" w:w="2376"/>
            <w:tcMar>
              <w:top w:w="80" w:type="dxa"/>
              <w:bottom w:w="80" w:type="dxa"/>
              <w:left w:w="100" w:type="dxa"/>
              <w:right w:w="100" w:type="dxa"/>
            </w:tcMar>
            <w:shd w:fill="F9FAFC" w:val="clear"/>
          </w:tcPr>
          <w:p>
            <w:pPr>
              <w:spacing w:after="0"/>
            </w:pPr>
            <w:r>
              <w:rPr>
                <w:sz w:val="19"/>
              </w:rPr>
              <w:t>Rp 480.000.000</w:t>
            </w:r>
          </w:p>
        </w:tc>
      </w:tr>
      <w:tr>
        <w:tc>
          <w:tcPr>
            <w:tcW w:type="dxa" w:w="4608"/>
            <w:tcMar>
              <w:top w:w="80" w:type="dxa"/>
              <w:bottom w:w="80" w:type="dxa"/>
              <w:left w:w="100" w:type="dxa"/>
              <w:right w:w="100" w:type="dxa"/>
            </w:tcMar>
          </w:tcPr>
          <w:p>
            <w:pPr>
              <w:spacing w:after="0"/>
            </w:pPr>
            <w:r>
              <w:rPr>
                <w:sz w:val="19"/>
              </w:rPr>
              <w:t>DPP PPN (100 / 111 x Omzet Bruto)</w:t>
            </w:r>
          </w:p>
        </w:tc>
        <w:tc>
          <w:tcPr>
            <w:tcW w:type="dxa" w:w="2376"/>
            <w:tcMar>
              <w:top w:w="80" w:type="dxa"/>
              <w:bottom w:w="80" w:type="dxa"/>
              <w:left w:w="100" w:type="dxa"/>
              <w:right w:w="100" w:type="dxa"/>
            </w:tcMar>
          </w:tcPr>
          <w:p>
            <w:pPr>
              <w:spacing w:after="0"/>
            </w:pPr>
            <w:r>
              <w:rPr>
                <w:sz w:val="19"/>
              </w:rPr>
              <w:t>Rp 162.162.162</w:t>
            </w:r>
          </w:p>
        </w:tc>
        <w:tc>
          <w:tcPr>
            <w:tcW w:type="dxa" w:w="2376"/>
            <w:tcMar>
              <w:top w:w="80" w:type="dxa"/>
              <w:bottom w:w="80" w:type="dxa"/>
              <w:left w:w="100" w:type="dxa"/>
              <w:right w:w="100" w:type="dxa"/>
            </w:tcMar>
          </w:tcPr>
          <w:p>
            <w:pPr>
              <w:spacing w:after="0"/>
            </w:pPr>
            <w:r>
              <w:rPr>
                <w:sz w:val="19"/>
              </w:rPr>
              <w:t>Rp 432.432.432</w:t>
            </w:r>
          </w:p>
        </w:tc>
      </w:tr>
      <w:tr>
        <w:tc>
          <w:tcPr>
            <w:tcW w:type="dxa" w:w="4608"/>
            <w:tcMar>
              <w:top w:w="80" w:type="dxa"/>
              <w:bottom w:w="80" w:type="dxa"/>
              <w:left w:w="100" w:type="dxa"/>
              <w:right w:w="100" w:type="dxa"/>
            </w:tcMar>
            <w:shd w:fill="F9FAFC" w:val="clear"/>
          </w:tcPr>
          <w:p>
            <w:pPr>
              <w:spacing w:after="0"/>
            </w:pPr>
            <w:r>
              <w:rPr>
                <w:sz w:val="19"/>
              </w:rPr>
              <w:t>PPN Keluaran Terutang (11%)</w:t>
            </w:r>
          </w:p>
        </w:tc>
        <w:tc>
          <w:tcPr>
            <w:tcW w:type="dxa" w:w="2376"/>
            <w:tcMar>
              <w:top w:w="80" w:type="dxa"/>
              <w:bottom w:w="80" w:type="dxa"/>
              <w:left w:w="100" w:type="dxa"/>
              <w:right w:w="100" w:type="dxa"/>
            </w:tcMar>
            <w:shd w:fill="F9FAFC" w:val="clear"/>
          </w:tcPr>
          <w:p>
            <w:pPr>
              <w:spacing w:after="0"/>
            </w:pPr>
            <w:r>
              <w:rPr>
                <w:sz w:val="19"/>
              </w:rPr>
              <w:t>Rp 17.837.838</w:t>
            </w:r>
          </w:p>
        </w:tc>
        <w:tc>
          <w:tcPr>
            <w:tcW w:type="dxa" w:w="2376"/>
            <w:tcMar>
              <w:top w:w="80" w:type="dxa"/>
              <w:bottom w:w="80" w:type="dxa"/>
              <w:left w:w="100" w:type="dxa"/>
              <w:right w:w="100" w:type="dxa"/>
            </w:tcMar>
            <w:shd w:fill="F9FAFC" w:val="clear"/>
          </w:tcPr>
          <w:p>
            <w:pPr>
              <w:spacing w:after="0"/>
            </w:pPr>
            <w:r>
              <w:rPr>
                <w:sz w:val="19"/>
              </w:rPr>
              <w:t>Rp 47.567.568</w:t>
            </w:r>
          </w:p>
        </w:tc>
      </w:tr>
      <w:tr>
        <w:tc>
          <w:tcPr>
            <w:tcW w:type="dxa" w:w="4608"/>
            <w:tcMar>
              <w:top w:w="80" w:type="dxa"/>
              <w:bottom w:w="80" w:type="dxa"/>
              <w:left w:w="100" w:type="dxa"/>
              <w:right w:w="100" w:type="dxa"/>
            </w:tcMar>
          </w:tcPr>
          <w:p>
            <w:pPr>
              <w:spacing w:after="0"/>
            </w:pPr>
            <w:r>
              <w:rPr>
                <w:sz w:val="19"/>
              </w:rPr>
              <w:t>PPN Keluaran Kurang Bayar</w:t>
            </w:r>
          </w:p>
        </w:tc>
        <w:tc>
          <w:tcPr>
            <w:tcW w:type="dxa" w:w="2376"/>
            <w:tcMar>
              <w:top w:w="80" w:type="dxa"/>
              <w:bottom w:w="80" w:type="dxa"/>
              <w:left w:w="100" w:type="dxa"/>
              <w:right w:w="100" w:type="dxa"/>
            </w:tcMar>
          </w:tcPr>
          <w:p>
            <w:pPr>
              <w:spacing w:after="0"/>
            </w:pPr>
            <w:r>
              <w:rPr>
                <w:sz w:val="19"/>
              </w:rPr>
              <w:t>Rp 0</w:t>
            </w:r>
          </w:p>
        </w:tc>
        <w:tc>
          <w:tcPr>
            <w:tcW w:type="dxa" w:w="2376"/>
            <w:tcMar>
              <w:top w:w="80" w:type="dxa"/>
              <w:bottom w:w="80" w:type="dxa"/>
              <w:left w:w="100" w:type="dxa"/>
              <w:right w:w="100" w:type="dxa"/>
            </w:tcMar>
          </w:tcPr>
          <w:p>
            <w:pPr>
              <w:spacing w:after="0"/>
            </w:pPr>
            <w:r>
              <w:rPr>
                <w:sz w:val="19"/>
              </w:rPr>
              <w:t>Rp 29.729.730</w:t>
            </w:r>
          </w:p>
        </w:tc>
      </w:tr>
      <w:tr>
        <w:tc>
          <w:tcPr>
            <w:tcW w:type="dxa" w:w="4608"/>
            <w:tcMar>
              <w:top w:w="80" w:type="dxa"/>
              <w:bottom w:w="80" w:type="dxa"/>
              <w:left w:w="100" w:type="dxa"/>
              <w:right w:w="100" w:type="dxa"/>
            </w:tcMar>
            <w:shd w:fill="F9FAFC" w:val="clear"/>
          </w:tcPr>
          <w:p>
            <w:pPr>
              <w:spacing w:after="0"/>
            </w:pPr>
            <w:r>
              <w:rPr>
                <w:sz w:val="19"/>
              </w:rPr>
              <w:t>Sanksi Bunga Pasal 9 (2a) UU KUP (Estimasi 2.2%)</w:t>
            </w:r>
          </w:p>
        </w:tc>
        <w:tc>
          <w:tcPr>
            <w:tcW w:type="dxa" w:w="2376"/>
            <w:tcMar>
              <w:top w:w="80" w:type="dxa"/>
              <w:bottom w:w="80" w:type="dxa"/>
              <w:left w:w="100" w:type="dxa"/>
              <w:right w:w="100" w:type="dxa"/>
            </w:tcMar>
            <w:shd w:fill="F9FAFC" w:val="clear"/>
          </w:tcPr>
          <w:p>
            <w:pPr>
              <w:spacing w:after="0"/>
            </w:pPr>
            <w:r>
              <w:rPr>
                <w:sz w:val="19"/>
              </w:rPr>
              <w:t>Rp 0</w:t>
            </w:r>
          </w:p>
        </w:tc>
        <w:tc>
          <w:tcPr>
            <w:tcW w:type="dxa" w:w="2376"/>
            <w:tcMar>
              <w:top w:w="80" w:type="dxa"/>
              <w:bottom w:w="80" w:type="dxa"/>
              <w:left w:w="100" w:type="dxa"/>
              <w:right w:w="100" w:type="dxa"/>
            </w:tcMar>
            <w:shd w:fill="F9FAFC" w:val="clear"/>
          </w:tcPr>
          <w:p>
            <w:pPr>
              <w:spacing w:after="0"/>
            </w:pPr>
            <w:r>
              <w:rPr>
                <w:sz w:val="19"/>
              </w:rPr>
              <w:t>Rp 654.054</w:t>
            </w:r>
          </w:p>
        </w:tc>
      </w:tr>
    </w:tbl>
    <w:p>
      <w:pPr>
        <w:keepNext/>
        <w:spacing w:before="240" w:after="80"/>
      </w:pPr>
      <w:r>
        <w:rPr>
          <w:rFonts w:ascii="Calibri" w:hAnsi="Calibri"/>
          <w:b/>
          <w:color w:val="1F497D"/>
          <w:sz w:val="26"/>
        </w:rPr>
        <w:t>4.3. Pemotongan PPh Pasal 23 Sewa KSO Peralatan Medis (MRI)</w:t>
      </w:r>
    </w:p>
    <w:p>
      <w:pPr>
        <w:spacing w:after="120" w:line="276" w:lineRule="auto"/>
      </w:pPr>
      <w:r>
        <w:rPr>
          <w:i w:val="0"/>
          <w:color w:val="262626"/>
        </w:rPr>
        <w:t>Transaksi Kerjasama Operasional (KSO) alat radiologi MRI dengan PT Bio Diagnostic Nusantara sebesar Rp72.000.000/bulan merupakan objek pemotongan PPh Pasal 23 atas sewa dan penggunaan harta (Tarif 2%). PPh Pasal 23 Terutang adalah sebesar Rp1.440.000.</w:t>
      </w:r>
    </w:p>
    <w:p>
      <w:pPr>
        <w:keepNext/>
        <w:spacing w:before="360" w:after="120"/>
      </w:pPr>
      <w:r>
        <w:rPr>
          <w:rFonts w:ascii="Calibri" w:hAnsi="Calibri"/>
          <w:b/>
          <w:color w:val="1F497D"/>
          <w:sz w:val="30"/>
        </w:rPr>
        <w:t>5. Matriks Evaluasi Pengendalian Internal (COSO Framework)</w:t>
      </w:r>
    </w:p>
    <w:p>
      <w:pPr>
        <w:spacing w:after="120" w:line="276" w:lineRule="auto"/>
      </w:pPr>
      <w:r>
        <w:rPr>
          <w:i w:val="0"/>
          <w:color w:val="262626"/>
        </w:rPr>
        <w:t>Berdasarkan hasil pengujian audit ekosistem IT dan alur transaksi, berikut adalah daftar defisiensi sistem, risiko yang ditimbulkan, serta rekomendasi perbaikan: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val="clear"/>
            <w:tcMar>
              <w:top w:w="100" w:type="dxa"/>
              <w:bottom w:w="100" w:type="dxa"/>
              <w:left w:w="100" w:type="dxa"/>
              <w:right w:w="100" w:type="dxa"/>
            </w:tcMar>
          </w:tcPr>
          <w:p>
            <w:pPr>
              <w:spacing w:after="0"/>
            </w:pPr>
            <w:r>
              <w:rPr>
                <w:b/>
                <w:color w:val="FFFFFF"/>
                <w:sz w:val="20"/>
              </w:rPr>
              <w:t>Temuan Defisiensi Control</w:t>
            </w:r>
          </w:p>
        </w:tc>
        <w:tc>
          <w:tcPr>
            <w:tcW w:type="dxa" w:w="3120"/>
            <w:shd w:fill="1F497D" w:val="clear"/>
            <w:tcMar>
              <w:top w:w="100" w:type="dxa"/>
              <w:bottom w:w="100" w:type="dxa"/>
              <w:left w:w="100" w:type="dxa"/>
              <w:right w:w="100" w:type="dxa"/>
            </w:tcMar>
          </w:tcPr>
          <w:p>
            <w:pPr>
              <w:spacing w:after="0"/>
            </w:pPr>
            <w:r>
              <w:rPr>
                <w:b/>
                <w:color w:val="FFFFFF"/>
                <w:sz w:val="20"/>
              </w:rPr>
              <w:t>Risiko Audit &amp; Perpajakan</w:t>
            </w:r>
          </w:p>
        </w:tc>
        <w:tc>
          <w:tcPr>
            <w:tcW w:type="dxa" w:w="3120"/>
            <w:shd w:fill="1F497D" w:val="clear"/>
            <w:tcMar>
              <w:top w:w="100" w:type="dxa"/>
              <w:bottom w:w="100" w:type="dxa"/>
              <w:left w:w="100" w:type="dxa"/>
              <w:right w:w="100" w:type="dxa"/>
            </w:tcMar>
          </w:tcPr>
          <w:p>
            <w:pPr>
              <w:spacing w:after="0"/>
            </w:pPr>
            <w:r>
              <w:rPr>
                <w:b/>
                <w:color w:val="FFFFFF"/>
                <w:sz w:val="20"/>
              </w:rPr>
              <w:t>Rekomendasi Perbaikan IT &amp; Governance</w:t>
            </w:r>
          </w:p>
        </w:tc>
      </w:tr>
      <w:tr>
        <w:tc>
          <w:tcPr>
            <w:tcW w:type="dxa" w:w="3024"/>
            <w:tcMar>
              <w:top w:w="80" w:type="dxa"/>
              <w:bottom w:w="80" w:type="dxa"/>
              <w:left w:w="100" w:type="dxa"/>
              <w:right w:w="100" w:type="dxa"/>
            </w:tcMar>
            <w:shd w:fill="F9FAFC" w:val="clear"/>
          </w:tcPr>
          <w:p>
            <w:pPr>
              <w:spacing w:after="0"/>
            </w:pPr>
            <w:r>
              <w:rPr>
                <w:sz w:val="18"/>
              </w:rPr>
              <w:t>Tidak tersedianya Automated 3-Way Matching antara SIMRS, Middleware, dan Modul AP/GL SAP B1.</w:t>
            </w:r>
          </w:p>
        </w:tc>
        <w:tc>
          <w:tcPr>
            <w:tcW w:type="dxa" w:w="3024"/>
            <w:tcMar>
              <w:top w:w="80" w:type="dxa"/>
              <w:bottom w:w="80" w:type="dxa"/>
              <w:left w:w="100" w:type="dxa"/>
              <w:right w:w="100" w:type="dxa"/>
            </w:tcMar>
            <w:shd w:fill="F9FAFC" w:val="clear"/>
          </w:tcPr>
          <w:p>
            <w:pPr>
              <w:spacing w:after="0"/>
            </w:pPr>
            <w:r>
              <w:rPr>
                <w:sz w:val="18"/>
              </w:rPr>
              <w:t>Data mismatch; pengakuan utang PPh 21 dan omzet PPN tidak mencerminkan kuitansi aktual.</w:t>
            </w:r>
          </w:p>
        </w:tc>
        <w:tc>
          <w:tcPr>
            <w:tcW w:type="dxa" w:w="3312"/>
            <w:tcMar>
              <w:top w:w="80" w:type="dxa"/>
              <w:bottom w:w="80" w:type="dxa"/>
              <w:left w:w="100" w:type="dxa"/>
              <w:right w:w="100" w:type="dxa"/>
            </w:tcMar>
            <w:shd w:fill="F9FAFC" w:val="clear"/>
          </w:tcPr>
          <w:p>
            <w:pPr>
              <w:spacing w:after="0"/>
            </w:pPr>
            <w:r>
              <w:rPr>
                <w:sz w:val="18"/>
              </w:rPr>
              <w:t>Terapkan automated interface validation dengan ID unik (transaction_id) &amp; mekanisme halt posting jika ada selisih.</w:t>
            </w:r>
          </w:p>
        </w:tc>
      </w:tr>
      <w:tr>
        <w:tc>
          <w:tcPr>
            <w:tcW w:type="dxa" w:w="3024"/>
            <w:tcMar>
              <w:top w:w="80" w:type="dxa"/>
              <w:bottom w:w="80" w:type="dxa"/>
              <w:left w:w="100" w:type="dxa"/>
              <w:right w:w="100" w:type="dxa"/>
            </w:tcMar>
          </w:tcPr>
          <w:p>
            <w:pPr>
              <w:spacing w:after="0"/>
            </w:pPr>
            <w:r>
              <w:rPr>
                <w:sz w:val="18"/>
              </w:rPr>
              <w:t>Gagal memisahkan master item obat BKP vs Non-BKP pada Kasir Apotek Rawat Jalan.</w:t>
            </w:r>
          </w:p>
        </w:tc>
        <w:tc>
          <w:tcPr>
            <w:tcW w:type="dxa" w:w="3024"/>
            <w:tcMar>
              <w:top w:w="80" w:type="dxa"/>
              <w:bottom w:w="80" w:type="dxa"/>
              <w:left w:w="100" w:type="dxa"/>
              <w:right w:w="100" w:type="dxa"/>
            </w:tcMar>
          </w:tcPr>
          <w:p>
            <w:pPr>
              <w:spacing w:after="0"/>
            </w:pPr>
            <w:r>
              <w:rPr>
                <w:sz w:val="18"/>
              </w:rPr>
              <w:t>Keterlambatan terbit e-Faktur; timbul sanksi denda denda keterlambatan e-Faktur UU KUP.</w:t>
            </w:r>
          </w:p>
        </w:tc>
        <w:tc>
          <w:tcPr>
            <w:tcW w:type="dxa" w:w="3312"/>
            <w:tcMar>
              <w:top w:w="80" w:type="dxa"/>
              <w:bottom w:w="80" w:type="dxa"/>
              <w:left w:w="100" w:type="dxa"/>
              <w:right w:w="100" w:type="dxa"/>
            </w:tcMar>
          </w:tcPr>
          <w:p>
            <w:pPr>
              <w:spacing w:after="0"/>
            </w:pPr>
            <w:r>
              <w:rPr>
                <w:sz w:val="18"/>
              </w:rPr>
              <w:t>Update Item Master Data SIMRS dengan penandaan tax flag (01/02) otomatis saat ditarik API Middleware.</w:t>
            </w:r>
          </w:p>
        </w:tc>
      </w:tr>
      <w:tr>
        <w:tc>
          <w:tcPr>
            <w:tcW w:type="dxa" w:w="3024"/>
            <w:tcMar>
              <w:top w:w="80" w:type="dxa"/>
              <w:bottom w:w="80" w:type="dxa"/>
              <w:left w:w="100" w:type="dxa"/>
              <w:right w:w="100" w:type="dxa"/>
            </w:tcMar>
            <w:shd w:fill="F9FAFC" w:val="clear"/>
          </w:tcPr>
          <w:p>
            <w:pPr>
              <w:spacing w:after="0"/>
            </w:pPr>
            <w:r>
              <w:rPr>
                <w:sz w:val="18"/>
              </w:rPr>
              <w:t>Bypass pemotongan PPh Pasal 23 atas vendor KSO pada sistem billing SIMRS.</w:t>
            </w:r>
          </w:p>
        </w:tc>
        <w:tc>
          <w:tcPr>
            <w:tcW w:type="dxa" w:w="3024"/>
            <w:tcMar>
              <w:top w:w="80" w:type="dxa"/>
              <w:bottom w:w="80" w:type="dxa"/>
              <w:left w:w="100" w:type="dxa"/>
              <w:right w:w="100" w:type="dxa"/>
            </w:tcMar>
            <w:shd w:fill="F9FAFC" w:val="clear"/>
          </w:tcPr>
          <w:p>
            <w:pPr>
              <w:spacing w:after="0"/>
            </w:pPr>
            <w:r>
              <w:rPr>
                <w:sz w:val="18"/>
              </w:rPr>
              <w:t>Kurang potong PPh 23; risiko penerbitan SKPKB oleh DJP beserta sanksi bunga.</w:t>
            </w:r>
          </w:p>
        </w:tc>
        <w:tc>
          <w:tcPr>
            <w:tcW w:type="dxa" w:w="3312"/>
            <w:tcMar>
              <w:top w:w="80" w:type="dxa"/>
              <w:bottom w:w="80" w:type="dxa"/>
              <w:left w:w="100" w:type="dxa"/>
              <w:right w:w="100" w:type="dxa"/>
            </w:tcMar>
            <w:shd w:fill="F9FAFC" w:val="clear"/>
          </w:tcPr>
          <w:p>
            <w:pPr>
              <w:spacing w:after="0"/>
            </w:pPr>
            <w:r>
              <w:rPr>
                <w:sz w:val="18"/>
              </w:rPr>
              <w:t>Pemetaan COA otomatis pada SAP B1: Debit Beban Sewa KSO, Kredit Utang PPh 23 (2%) dan Utang Vendor.</w:t>
            </w:r>
          </w:p>
        </w:tc>
      </w:tr>
    </w:tbl>
    <w:p>
      <w:pPr>
        <w:keepNext/>
        <w:spacing w:before="360" w:after="120"/>
      </w:pPr>
      <w:r>
        <w:rPr>
          <w:rFonts w:ascii="Calibri" w:hAnsi="Calibri"/>
          <w:b/>
          <w:color w:val="1F497D"/>
          <w:sz w:val="30"/>
        </w:rPr>
        <w:t>6. Rubrik Evaluasi &amp; Benchmarking Kompetensi Audit PPAk</w:t>
      </w:r>
    </w:p>
    <w:p>
      <w:pPr>
        <w:spacing w:after="120" w:line="276" w:lineRule="auto"/>
      </w:pPr>
      <w:r>
        <w:rPr>
          <w:i w:val="0"/>
          <w:color w:val="262626"/>
        </w:rPr>
        <w:t>Rubrik berikut digunakan sebagai standar evaluasi capaian mahasiswa Pendidikan Profesi Akuntansi (PPAk) dalam menyelesaikan kasus simulasi ini:</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val="clear"/>
            <w:tcMar>
              <w:top w:w="100" w:type="dxa"/>
              <w:bottom w:w="100" w:type="dxa"/>
              <w:left w:w="100" w:type="dxa"/>
              <w:right w:w="100" w:type="dxa"/>
            </w:tcMar>
          </w:tcPr>
          <w:p>
            <w:pPr>
              <w:spacing w:after="0"/>
            </w:pPr>
            <w:r>
              <w:rPr>
                <w:b/>
                <w:color w:val="FFFFFF"/>
                <w:sz w:val="20"/>
              </w:rPr>
              <w:t>Kriteria Kompetensi</w:t>
            </w:r>
          </w:p>
        </w:tc>
        <w:tc>
          <w:tcPr>
            <w:tcW w:type="dxa" w:w="3120"/>
            <w:shd w:fill="1F497D" w:val="clear"/>
            <w:tcMar>
              <w:top w:w="100" w:type="dxa"/>
              <w:bottom w:w="100" w:type="dxa"/>
              <w:left w:w="100" w:type="dxa"/>
              <w:right w:w="100" w:type="dxa"/>
            </w:tcMar>
          </w:tcPr>
          <w:p>
            <w:pPr>
              <w:spacing w:after="0"/>
            </w:pPr>
            <w:r>
              <w:rPr>
                <w:b/>
                <w:color w:val="FFFFFF"/>
                <w:sz w:val="20"/>
              </w:rPr>
              <w:t>Bobot</w:t>
            </w:r>
          </w:p>
        </w:tc>
        <w:tc>
          <w:tcPr>
            <w:tcW w:type="dxa" w:w="3120"/>
            <w:shd w:fill="1F497D" w:val="clear"/>
            <w:tcMar>
              <w:top w:w="100" w:type="dxa"/>
              <w:bottom w:w="100" w:type="dxa"/>
              <w:left w:w="100" w:type="dxa"/>
              <w:right w:w="100" w:type="dxa"/>
            </w:tcMar>
          </w:tcPr>
          <w:p>
            <w:pPr>
              <w:spacing w:after="0"/>
            </w:pPr>
            <w:r>
              <w:rPr>
                <w:b/>
                <w:color w:val="FFFFFF"/>
                <w:sz w:val="20"/>
              </w:rPr>
              <w:t>Indikator Capaian Utama</w:t>
            </w:r>
          </w:p>
        </w:tc>
      </w:tr>
      <w:tr>
        <w:tc>
          <w:tcPr>
            <w:tcW w:type="dxa" w:w="3168"/>
            <w:tcMar>
              <w:top w:w="80" w:type="dxa"/>
              <w:bottom w:w="80" w:type="dxa"/>
              <w:left w:w="100" w:type="dxa"/>
              <w:right w:w="100" w:type="dxa"/>
            </w:tcMar>
            <w:shd w:fill="F9FAFC" w:val="clear"/>
          </w:tcPr>
          <w:p>
            <w:pPr>
              <w:spacing w:after="0"/>
            </w:pPr>
            <w:r>
              <w:rPr>
                <w:sz w:val="19"/>
              </w:rPr>
              <w:t>Kecakapan Arsitektur Sistem IT</w:t>
            </w:r>
          </w:p>
        </w:tc>
        <w:tc>
          <w:tcPr>
            <w:tcW w:type="dxa" w:w="1152"/>
            <w:tcMar>
              <w:top w:w="80" w:type="dxa"/>
              <w:bottom w:w="80" w:type="dxa"/>
              <w:left w:w="100" w:type="dxa"/>
              <w:right w:w="100" w:type="dxa"/>
            </w:tcMar>
            <w:shd w:fill="F9FAFC" w:val="clear"/>
          </w:tcPr>
          <w:p>
            <w:pPr>
              <w:spacing w:after="0"/>
              <w:jc w:val="center"/>
            </w:pPr>
            <w:r>
              <w:rPr>
                <w:sz w:val="19"/>
              </w:rPr>
              <w:t>25%</w:t>
            </w:r>
          </w:p>
        </w:tc>
        <w:tc>
          <w:tcPr>
            <w:tcW w:type="dxa" w:w="5040"/>
            <w:tcMar>
              <w:top w:w="80" w:type="dxa"/>
              <w:bottom w:w="80" w:type="dxa"/>
              <w:left w:w="100" w:type="dxa"/>
              <w:right w:w="100" w:type="dxa"/>
            </w:tcMar>
            <w:shd w:fill="F9FAFC" w:val="clear"/>
          </w:tcPr>
          <w:p>
            <w:pPr>
              <w:spacing w:after="0"/>
            </w:pPr>
            <w:r>
              <w:rPr>
                <w:sz w:val="19"/>
              </w:rPr>
              <w:t>Mengidentifikasi titik kritis kegagalan bridging SIMRS-Middleware-ERP secara presisi serta dampaknya pada akun GL.</w:t>
            </w:r>
          </w:p>
        </w:tc>
      </w:tr>
      <w:tr>
        <w:tc>
          <w:tcPr>
            <w:tcW w:type="dxa" w:w="3168"/>
            <w:tcMar>
              <w:top w:w="80" w:type="dxa"/>
              <w:bottom w:w="80" w:type="dxa"/>
              <w:left w:w="100" w:type="dxa"/>
              <w:right w:w="100" w:type="dxa"/>
            </w:tcMar>
          </w:tcPr>
          <w:p>
            <w:pPr>
              <w:spacing w:after="0"/>
            </w:pPr>
            <w:r>
              <w:rPr>
                <w:sz w:val="19"/>
              </w:rPr>
              <w:t>Akurasi Regulasi Pajak</w:t>
            </w:r>
          </w:p>
        </w:tc>
        <w:tc>
          <w:tcPr>
            <w:tcW w:type="dxa" w:w="1152"/>
            <w:tcMar>
              <w:top w:w="80" w:type="dxa"/>
              <w:bottom w:w="80" w:type="dxa"/>
              <w:left w:w="100" w:type="dxa"/>
              <w:right w:w="100" w:type="dxa"/>
            </w:tcMar>
          </w:tcPr>
          <w:p>
            <w:pPr>
              <w:spacing w:after="0"/>
              <w:jc w:val="center"/>
            </w:pPr>
            <w:r>
              <w:rPr>
                <w:sz w:val="19"/>
              </w:rPr>
              <w:t>35%</w:t>
            </w:r>
          </w:p>
        </w:tc>
        <w:tc>
          <w:tcPr>
            <w:tcW w:type="dxa" w:w="5040"/>
            <w:tcMar>
              <w:top w:w="80" w:type="dxa"/>
              <w:bottom w:w="80" w:type="dxa"/>
              <w:left w:w="100" w:type="dxa"/>
              <w:right w:w="100" w:type="dxa"/>
            </w:tcMar>
          </w:tcPr>
          <w:p>
            <w:pPr>
              <w:spacing w:after="0"/>
            </w:pPr>
            <w:r>
              <w:rPr>
                <w:sz w:val="19"/>
              </w:rPr>
              <w:t>Menguasai perhitungan PPh 21 Dokter (DPP 50% vs Bruto), batasan PPN Jasa Medik UU HPP, dan PPh 23 KSO.</w:t>
            </w:r>
          </w:p>
        </w:tc>
      </w:tr>
      <w:tr>
        <w:tc>
          <w:tcPr>
            <w:tcW w:type="dxa" w:w="3168"/>
            <w:tcMar>
              <w:top w:w="80" w:type="dxa"/>
              <w:bottom w:w="80" w:type="dxa"/>
              <w:left w:w="100" w:type="dxa"/>
              <w:right w:w="100" w:type="dxa"/>
            </w:tcMar>
            <w:shd w:fill="F9FAFC" w:val="clear"/>
          </w:tcPr>
          <w:p>
            <w:pPr>
              <w:spacing w:after="0"/>
            </w:pPr>
            <w:r>
              <w:rPr>
                <w:sz w:val="19"/>
              </w:rPr>
              <w:t>Penyusunan Kertas Kerja &amp; Korespondensi</w:t>
            </w:r>
          </w:p>
        </w:tc>
        <w:tc>
          <w:tcPr>
            <w:tcW w:type="dxa" w:w="1152"/>
            <w:tcMar>
              <w:top w:w="80" w:type="dxa"/>
              <w:bottom w:w="80" w:type="dxa"/>
              <w:left w:w="100" w:type="dxa"/>
              <w:right w:w="100" w:type="dxa"/>
            </w:tcMar>
            <w:shd w:fill="F9FAFC" w:val="clear"/>
          </w:tcPr>
          <w:p>
            <w:pPr>
              <w:spacing w:after="0"/>
              <w:jc w:val="center"/>
            </w:pPr>
            <w:r>
              <w:rPr>
                <w:sz w:val="19"/>
              </w:rPr>
              <w:t>25%</w:t>
            </w:r>
          </w:p>
        </w:tc>
        <w:tc>
          <w:tcPr>
            <w:tcW w:type="dxa" w:w="5040"/>
            <w:tcMar>
              <w:top w:w="80" w:type="dxa"/>
              <w:bottom w:w="80" w:type="dxa"/>
              <w:left w:w="100" w:type="dxa"/>
              <w:right w:w="100" w:type="dxa"/>
            </w:tcMar>
            <w:shd w:fill="F9FAFC" w:val="clear"/>
          </w:tcPr>
          <w:p>
            <w:pPr>
              <w:spacing w:after="0"/>
            </w:pPr>
            <w:r>
              <w:rPr>
                <w:sz w:val="19"/>
              </w:rPr>
              <w:t>Kertas kerja sistematis dan draf surat tanggapan SP2DK sesuai kaidah tata naskah dinas perpajakan Indonesia.</w:t>
            </w:r>
          </w:p>
        </w:tc>
      </w:tr>
      <w:tr>
        <w:tc>
          <w:tcPr>
            <w:tcW w:type="dxa" w:w="3168"/>
            <w:tcMar>
              <w:top w:w="80" w:type="dxa"/>
              <w:bottom w:w="80" w:type="dxa"/>
              <w:left w:w="100" w:type="dxa"/>
              <w:right w:w="100" w:type="dxa"/>
            </w:tcMar>
          </w:tcPr>
          <w:p>
            <w:pPr>
              <w:spacing w:after="0"/>
            </w:pPr>
            <w:r>
              <w:rPr>
                <w:sz w:val="19"/>
              </w:rPr>
              <w:t>Evaluasi COSO &amp; IT Audit</w:t>
            </w:r>
          </w:p>
        </w:tc>
        <w:tc>
          <w:tcPr>
            <w:tcW w:type="dxa" w:w="1152"/>
            <w:tcMar>
              <w:top w:w="80" w:type="dxa"/>
              <w:bottom w:w="80" w:type="dxa"/>
              <w:left w:w="100" w:type="dxa"/>
              <w:right w:w="100" w:type="dxa"/>
            </w:tcMar>
          </w:tcPr>
          <w:p>
            <w:pPr>
              <w:spacing w:after="0"/>
              <w:jc w:val="center"/>
            </w:pPr>
            <w:r>
              <w:rPr>
                <w:sz w:val="19"/>
              </w:rPr>
              <w:t>15%</w:t>
            </w:r>
          </w:p>
        </w:tc>
        <w:tc>
          <w:tcPr>
            <w:tcW w:type="dxa" w:w="5040"/>
            <w:tcMar>
              <w:top w:w="80" w:type="dxa"/>
              <w:bottom w:w="80" w:type="dxa"/>
              <w:left w:w="100" w:type="dxa"/>
              <w:right w:w="100" w:type="dxa"/>
            </w:tcMar>
          </w:tcPr>
          <w:p>
            <w:pPr>
              <w:spacing w:after="0"/>
            </w:pPr>
            <w:r>
              <w:rPr>
                <w:sz w:val="19"/>
              </w:rPr>
              <w:t>Menyusun rekomendasi perbaikan berbasis matriks control deficiency.</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Halaman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Laporan Simulasi Audit &amp; Dokumen Bisnis | PT Medika Sejahtera Mandiri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