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left"/>
      </w:pPr>
      <w:r>
        <w:rPr>
          <w:rFonts w:ascii="Calibri" w:cs="Calibri" w:eastAsia="Calibri" w:hAnsi="Calibri"/>
          <w:b/>
          <w:bCs/>
          <w:i w:val="false"/>
          <w:iCs w:val="false"/>
          <w:color w:val="111827"/>
          <w:sz w:val="22"/>
          <w:szCs w:val="22"/>
        </w:rPr>
        <w:t xml:space="preserve">Romuald Martin</w:t>
      </w:r>
    </w:p>
    <w:p>
      <w:pPr>
        <w:spacing w:after="160" w:before="0" w:line="276"/>
        <w:jc w:val="left"/>
      </w:pPr>
      <w:r>
        <w:rPr>
          <w:rFonts w:ascii="Calibri" w:cs="Calibri" w:eastAsia="Calibri" w:hAnsi="Calibri"/>
          <w:b w:val="false"/>
          <w:bCs w:val="false"/>
          <w:i w:val="false"/>
          <w:iCs w:val="false"/>
          <w:color w:val="111827"/>
          <w:sz w:val="22"/>
          <w:szCs w:val="22"/>
        </w:rPr>
        <w:t xml:space="preserve">Chercheur indépendant — Cabin Skolar</w:t>
      </w:r>
    </w:p>
    <w:p>
      <w:pPr>
        <w:spacing w:after="160" w:before="0" w:line="276"/>
        <w:jc w:val="left"/>
      </w:pPr>
      <w:r>
        <w:rPr>
          <w:rFonts w:ascii="Calibri" w:cs="Calibri" w:eastAsia="Calibri" w:hAnsi="Calibri"/>
          <w:b w:val="false"/>
          <w:bCs w:val="false"/>
          <w:i w:val="false"/>
          <w:iCs w:val="false"/>
          <w:color w:val="111827"/>
          <w:sz w:val="22"/>
          <w:szCs w:val="22"/>
        </w:rPr>
        <w:t xml:space="preserve">Bourgogne, France</w:t>
      </w:r>
    </w:p>
    <w:p>
      <w:pPr>
        <w:spacing w:after="160" w:before="0" w:line="276"/>
        <w:jc w:val="left"/>
      </w:pPr>
      <w:r>
        <w:rPr>
          <w:rFonts w:ascii="Calibri" w:cs="Calibri" w:eastAsia="Calibri" w:hAnsi="Calibri"/>
          <w:b w:val="false"/>
          <w:bCs w:val="false"/>
          <w:i w:val="false"/>
          <w:iCs w:val="false"/>
          <w:color w:val="111827"/>
          <w:sz w:val="22"/>
          <w:szCs w:val="22"/>
        </w:rPr>
        <w:t xml:space="preserve">romuald.martin@gmail.com</w:t>
      </w:r>
    </w:p>
    <w:p>
      <w:pPr>
        <w:spacing w:after="160" w:before="160"/>
      </w:pPr>
      <w:r>
        <w:t xml:space="preserve"/>
      </w:r>
    </w:p>
    <w:p>
      <w:pPr>
        <w:spacing w:after="160" w:before="0" w:line="276"/>
        <w:jc w:val="left"/>
      </w:pPr>
      <w:r>
        <w:rPr>
          <w:rFonts w:ascii="Calibri" w:cs="Calibri" w:eastAsia="Calibri" w:hAnsi="Calibri"/>
          <w:b/>
          <w:bCs/>
          <w:i w:val="false"/>
          <w:iCs w:val="false"/>
          <w:color w:val="1B3A6B"/>
          <w:sz w:val="22"/>
          <w:szCs w:val="22"/>
        </w:rPr>
        <w:t xml:space="preserve">À l'attention de :</w:t>
      </w:r>
    </w:p>
    <w:p>
      <w:pPr>
        <w:spacing w:after="160" w:before="0" w:line="276"/>
        <w:jc w:val="left"/>
      </w:pPr>
      <w:r>
        <w:rPr>
          <w:rFonts w:ascii="Calibri" w:cs="Calibri" w:eastAsia="Calibri" w:hAnsi="Calibri"/>
          <w:b/>
          <w:bCs/>
          <w:i w:val="false"/>
          <w:iCs w:val="false"/>
          <w:color w:val="111827"/>
          <w:sz w:val="22"/>
          <w:szCs w:val="22"/>
        </w:rPr>
        <w:t xml:space="preserve">AI Office — European Commission</w:t>
      </w:r>
    </w:p>
    <w:p>
      <w:pPr>
        <w:spacing w:after="160" w:before="0" w:line="276"/>
        <w:jc w:val="left"/>
      </w:pPr>
      <w:r>
        <w:rPr>
          <w:rFonts w:ascii="Calibri" w:cs="Calibri" w:eastAsia="Calibri" w:hAnsi="Calibri"/>
          <w:b w:val="false"/>
          <w:bCs w:val="false"/>
          <w:i w:val="false"/>
          <w:iCs w:val="false"/>
          <w:color w:val="111827"/>
          <w:sz w:val="22"/>
          <w:szCs w:val="22"/>
        </w:rPr>
        <w:t xml:space="preserve">Bureau de l'IA — DG CONNECT</w:t>
      </w:r>
    </w:p>
    <w:p>
      <w:pPr>
        <w:spacing w:after="160" w:before="0" w:line="276"/>
        <w:jc w:val="left"/>
      </w:pPr>
      <w:r>
        <w:rPr>
          <w:rFonts w:ascii="Calibri" w:cs="Calibri" w:eastAsia="Calibri" w:hAnsi="Calibri"/>
          <w:b w:val="false"/>
          <w:bCs w:val="false"/>
          <w:i w:val="false"/>
          <w:iCs w:val="false"/>
          <w:color w:val="111827"/>
          <w:sz w:val="22"/>
          <w:szCs w:val="22"/>
        </w:rPr>
        <w:t xml:space="preserve">Rue de la Loi 200</w:t>
      </w:r>
    </w:p>
    <w:p>
      <w:pPr>
        <w:spacing w:after="160" w:before="0" w:line="276"/>
        <w:jc w:val="left"/>
      </w:pPr>
      <w:r>
        <w:rPr>
          <w:rFonts w:ascii="Calibri" w:cs="Calibri" w:eastAsia="Calibri" w:hAnsi="Calibri"/>
          <w:b w:val="false"/>
          <w:bCs w:val="false"/>
          <w:i w:val="false"/>
          <w:iCs w:val="false"/>
          <w:color w:val="111827"/>
          <w:sz w:val="22"/>
          <w:szCs w:val="22"/>
        </w:rPr>
        <w:t xml:space="preserve">B-1049 Bruxelles, Belgique</w:t>
      </w:r>
    </w:p>
    <w:p>
      <w:pPr>
        <w:spacing w:after="160" w:before="0" w:line="276"/>
        <w:jc w:val="left"/>
      </w:pPr>
      <w:r>
        <w:rPr>
          <w:rFonts w:ascii="Calibri" w:cs="Calibri" w:eastAsia="Calibri" w:hAnsi="Calibri"/>
          <w:b w:val="false"/>
          <w:bCs w:val="false"/>
          <w:i w:val="false"/>
          <w:iCs w:val="false"/>
          <w:color w:val="111827"/>
          <w:sz w:val="22"/>
          <w:szCs w:val="22"/>
        </w:rPr>
        <w:t xml:space="preserve">ai-office@ec.europa.eu</w:t>
      </w:r>
    </w:p>
    <w:p>
      <w:pPr>
        <w:spacing w:after="160" w:before="160"/>
      </w:pPr>
      <w:r>
        <w:t xml:space="preserve"/>
      </w:r>
    </w:p>
    <w:p>
      <w:pPr>
        <w:spacing w:after="160" w:before="0" w:line="276"/>
        <w:jc w:val="left"/>
      </w:pPr>
      <w:r>
        <w:rPr>
          <w:rFonts w:ascii="Calibri" w:cs="Calibri" w:eastAsia="Calibri" w:hAnsi="Calibri"/>
          <w:b w:val="false"/>
          <w:bCs w:val="false"/>
          <w:i w:val="false"/>
          <w:iCs w:val="false"/>
          <w:color w:val="6B7280"/>
          <w:sz w:val="22"/>
          <w:szCs w:val="22"/>
        </w:rPr>
        <w:t xml:space="preserve">Bourgogne, le 3 mai 2026</w:t>
      </w:r>
    </w:p>
    <w:p>
      <w:pPr>
        <w:spacing w:after="80" w:before="80"/>
      </w:pPr>
      <w:r>
        <w:t xml:space="preserve"/>
      </w:r>
    </w:p>
    <w:p>
      <w:pPr>
        <w:pBdr>
          <w:bottom w:val="single" w:color="1B3A6B" w:sz="6" w:space="4"/>
        </w:pBdr>
      </w:pPr>
      <w:r>
        <w:t xml:space="preserve"/>
      </w:r>
    </w:p>
    <w:p>
      <w:pPr>
        <w:spacing w:after="80" w:before="80"/>
      </w:pPr>
      <w:r>
        <w:t xml:space="preserve"/>
      </w:r>
    </w:p>
    <w:p>
      <w:pPr>
        <w:spacing w:after="200" w:before="200"/>
      </w:pPr>
      <w:r>
        <w:rPr>
          <w:rFonts w:ascii="Calibri" w:cs="Calibri" w:eastAsia="Calibri" w:hAnsi="Calibri"/>
          <w:b/>
          <w:bCs/>
          <w:color w:val="1B3A6B"/>
          <w:sz w:val="22"/>
          <w:szCs w:val="22"/>
        </w:rPr>
        <w:t xml:space="preserve">Objet : </w:t>
      </w:r>
      <w:r>
        <w:rPr>
          <w:rFonts w:ascii="Calibri" w:cs="Calibri" w:eastAsia="Calibri" w:hAnsi="Calibri"/>
          <w:b/>
          <w:bCs/>
          <w:color w:val="111827"/>
          <w:sz w:val="22"/>
          <w:szCs w:val="22"/>
        </w:rPr>
        <w:t xml:space="preserve">Proposition de standard technique pour l'implémentation des obligations de traçabilité de l'AI Act — Protocole SparkLayer</w:t>
      </w:r>
    </w:p>
    <w:p>
      <w:pPr>
        <w:spacing w:after="80" w:before="80"/>
      </w:pPr>
      <w:r>
        <w:rPr>
          <w:rFonts w:ascii="Calibri" w:cs="Calibri" w:eastAsia="Calibri" w:hAnsi="Calibri"/>
          <w:b/>
          <w:bCs/>
          <w:color w:val="6B7280"/>
          <w:sz w:val="22"/>
          <w:szCs w:val="22"/>
        </w:rPr>
        <w:t xml:space="preserve">Réf. : </w:t>
      </w:r>
      <w:r>
        <w:rPr>
          <w:rFonts w:ascii="Calibri" w:cs="Calibri" w:eastAsia="Calibri" w:hAnsi="Calibri"/>
          <w:color w:val="6B7280"/>
          <w:sz w:val="22"/>
          <w:szCs w:val="22"/>
        </w:rPr>
        <w:t xml:space="preserve">AI Act (Règlement UE 2024/1689) — Articles 10 et 53 — Code de Pratique GPAI</w:t>
      </w:r>
    </w:p>
    <w:p>
      <w:pPr>
        <w:spacing w:after="80" w:before="80"/>
      </w:pPr>
      <w:r>
        <w:t xml:space="preserve"/>
      </w:r>
    </w:p>
    <w:p>
      <w:pPr>
        <w:spacing w:after="160" w:before="80" w:line="316"/>
      </w:pPr>
      <w:r>
        <w:rPr>
          <w:rFonts w:ascii="Calibri" w:cs="Calibri" w:eastAsia="Calibri" w:hAnsi="Calibri"/>
          <w:color w:val="111827"/>
          <w:sz w:val="22"/>
          <w:szCs w:val="22"/>
        </w:rPr>
        <w:t xml:space="preserve">Madame, Monsieur,</w:t>
      </w:r>
    </w:p>
    <w:p>
      <w:pPr>
        <w:spacing w:after="80" w:before="80"/>
      </w:pPr>
      <w:r>
        <w:t xml:space="preserve"/>
      </w:r>
    </w:p>
    <w:p>
      <w:pPr>
        <w:spacing w:after="160" w:before="80" w:line="316"/>
      </w:pPr>
      <w:r>
        <w:rPr>
          <w:rFonts w:ascii="Calibri" w:cs="Calibri" w:eastAsia="Calibri" w:hAnsi="Calibri"/>
          <w:color w:val="111827"/>
          <w:sz w:val="22"/>
          <w:szCs w:val="22"/>
        </w:rPr>
        <w:t xml:space="preserve">Je me permets de vous adresser ce courrier afin de porter à la connaissance de l'AI Office une proposition de standard technique open source susceptible de faciliter l'implémentation des obligations de traçabilité des données d'entraînement introduites par le Règlement sur l'intelligence artificielle (AI Act).</w:t>
      </w:r>
    </w:p>
    <w:p>
      <w:pPr>
        <w:spacing w:after="160" w:before="80" w:line="316"/>
      </w:pPr>
      <w:r>
        <w:rPr>
          <w:rFonts w:ascii="Calibri" w:cs="Calibri" w:eastAsia="Calibri" w:hAnsi="Calibri"/>
          <w:color w:val="111827"/>
          <w:sz w:val="22"/>
          <w:szCs w:val="22"/>
        </w:rPr>
        <w:t xml:space="preserve">L'AI Act crée des obligations précises à la charge des fournisseurs de modèles d'IA à usage général (GPAI) : documentation de la provenance des données d'entraînement (Art. 53(1)(d)), conformité au droit d'auteur et aux réserves TDM (Art. 53(1)(c)), et garanties de qualité des données (Art. 10). Ces obligations sont bien fondées. Ce qui manque à ce jour est le standard technique permettant de les implémenter à l'échelle du web.</w:t>
      </w:r>
    </w:p>
    <w:p>
      <w:pPr>
        <w:spacing w:after="160" w:before="80" w:line="316"/>
      </w:pPr>
      <w:r>
        <w:rPr>
          <w:rFonts w:ascii="Calibri" w:cs="Calibri" w:eastAsia="Calibri" w:hAnsi="Calibri"/>
          <w:color w:val="111827"/>
          <w:sz w:val="22"/>
          <w:szCs w:val="22"/>
        </w:rPr>
        <w:t xml:space="preserve">Le protocole SparkLayer a été conçu pour répondre précisément à ce besoin.</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Qu'est-ce que SparkLayer ?</w:t>
      </w:r>
    </w:p>
    <w:p>
      <w:pPr>
        <w:spacing w:after="160" w:before="80" w:line="316"/>
      </w:pPr>
      <w:r>
        <w:rPr>
          <w:rFonts w:ascii="Calibri" w:cs="Calibri" w:eastAsia="Calibri" w:hAnsi="Calibri"/>
          <w:color w:val="111827"/>
          <w:sz w:val="22"/>
          <w:szCs w:val="22"/>
        </w:rPr>
        <w:t xml:space="preserve">SparkLayer est un protocole ouvert (licence MIT) qui définit une couche parallèle au web humain, spécifiquement conçue pour la consommation de contenu par les agents IA. Il repose sur trois formats de fichiers :</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.spsk (Spark Protocol Site Key) — manifeste public contenant l'identité de l'éditeur et ses clés publiques Ed25519</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.spk (Spark Protocol Knowledge) — document sémantique signé cryptographiquement, partitionné par niveau d'accès, avec provenance complète</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.spki (Spark Protocol Knowledge Interface) — surface d'action déclarant les intentions, coûts et niveaux d'accès disponibles pour les agents</w:t>
      </w:r>
    </w:p>
    <w:p>
      <w:pPr>
        <w:spacing w:after="80" w:before="80"/>
      </w:pPr>
      <w:r>
        <w:t xml:space="preserve"/>
      </w:r>
    </w:p>
    <w:p>
      <w:pPr>
        <w:spacing w:after="160" w:before="80" w:line="316"/>
      </w:pPr>
      <w:r>
        <w:rPr>
          <w:rFonts w:ascii="Calibri" w:cs="Calibri" w:eastAsia="Calibri" w:hAnsi="Calibri"/>
          <w:color w:val="111827"/>
          <w:sz w:val="22"/>
          <w:szCs w:val="22"/>
        </w:rPr>
        <w:t xml:space="preserve">Chaque document .spk porte une signature Ed25519 couvrant : l'auteur, l'éditeur, la date de publication, la version, les droits d'usage par bloc de contenu, un indicateur de révision éditoriale, et un hash d'intégrité SHA-256. Cet ensemble constitue directement le « résumé suffisamment détaillé » exigé par l'article 53(1)(d) de l'AI Act, sous forme machine-readable et cryptographiquement vérifiable.</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Performances mesurées</w:t>
      </w:r>
    </w:p>
    <w:p>
      <w:pPr>
        <w:spacing w:after="160" w:before="80" w:line="316"/>
      </w:pPr>
      <w:r>
        <w:rPr>
          <w:rFonts w:ascii="Calibri" w:cs="Calibri" w:eastAsia="Calibri" w:hAnsi="Calibri"/>
          <w:color w:val="111827"/>
          <w:sz w:val="22"/>
          <w:szCs w:val="22"/>
        </w:rPr>
        <w:t xml:space="preserve">Un benchmark comparatif entre le scraping HTML classique et la consommation via SparkLayer a été réalisé et documenté :</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35 fois plus rapide (262ms vs 9 170ms par document)</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0 appel LLM nécessaire pour parser un document (vs 4 appels pour l'HTML)</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Réduction de 100% du coût de traitement par document</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Réduction de 54% du risque d'hallucination</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100% de couverture de provenance (vs 5% en HTML)</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Fiabilité du pipeline : 93% (vs 12% en HTML)</w:t>
      </w:r>
    </w:p>
    <w:p>
      <w:pPr>
        <w:spacing w:after="80" w:before="80"/>
      </w:pPr>
      <w:r>
        <w:t xml:space="preserve"/>
      </w:r>
    </w:p>
    <w:p>
      <w:pPr>
        <w:spacing w:after="120" w:before="160" w:line="276"/>
        <w:jc w:val="left"/>
      </w:pPr>
      <w:r>
        <w:rPr>
          <w:rFonts w:ascii="Calibri" w:cs="Calibri" w:eastAsia="Calibri" w:hAnsi="Calibri"/>
          <w:b/>
          <w:bCs/>
          <w:i w:val="false"/>
          <w:iCs w:val="false"/>
          <w:color w:val="1B3A6B"/>
          <w:sz w:val="22"/>
          <w:szCs w:val="22"/>
        </w:rPr>
        <w:t xml:space="preserve">Demande spécifique</w:t>
      </w:r>
    </w:p>
    <w:p>
      <w:pPr>
        <w:spacing w:after="160" w:before="80" w:line="316"/>
      </w:pPr>
      <w:r>
        <w:rPr>
          <w:rFonts w:ascii="Calibri" w:cs="Calibri" w:eastAsia="Calibri" w:hAnsi="Calibri"/>
          <w:color w:val="111827"/>
          <w:sz w:val="22"/>
          <w:szCs w:val="22"/>
        </w:rPr>
        <w:t xml:space="preserve">Je sollicite l'examen de SparkLayer dans le cadre de la consultation publique sur le Code de Pratique GPAI, et plus précisément :</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La reconnaissance du protocole SparkLayer (ou d'un standard fonctionnellement équivalent) comme implémentation technique de référence pour les obligations de traçabilité de l'Art. 53(1)(d)</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Un avis de la Commission sur la question de savoir si le champ ia-usage du protocole, lorsqu'il est déployé par un éditeur, constitue une réserve TDM valide au sens de l'Art. 4 de la directive DSM</w:t>
      </w:r>
    </w:p>
    <w:p>
      <w:pPr>
        <w:spacing w:after="60" w:before="60" w:line="276"/>
        <w:ind w:left="480" w:hanging="240"/>
      </w:pPr>
      <w:r>
        <w:rPr>
          <w:rFonts w:ascii="Calibri" w:cs="Calibri" w:eastAsia="Calibri" w:hAnsi="Calibri"/>
          <w:b/>
          <w:bCs/>
          <w:color w:val="1B3A6B"/>
          <w:sz w:val="22"/>
          <w:szCs w:val="22"/>
        </w:rPr>
        <w:t xml:space="preserve">• </w:t>
      </w:r>
      <w:r>
        <w:rPr>
          <w:rFonts w:ascii="Calibri" w:cs="Calibri" w:eastAsia="Calibri" w:hAnsi="Calibri"/>
          <w:color w:val="111827"/>
          <w:sz w:val="22"/>
          <w:szCs w:val="22"/>
        </w:rPr>
        <w:t xml:space="preserve">Un soutien à la soumission du protocole au W3C Community Group, signalant l'intérêt réglementaire européen pour ce type de standard</w:t>
      </w:r>
    </w:p>
    <w:p>
      <w:pPr>
        <w:spacing w:after="80" w:before="80"/>
      </w:pPr>
      <w:r>
        <w:t xml:space="preserve"/>
      </w:r>
    </w:p>
    <w:p>
      <w:pPr>
        <w:spacing w:after="160" w:before="80" w:line="316"/>
      </w:pPr>
      <w:r>
        <w:rPr>
          <w:rFonts w:ascii="Calibri" w:cs="Calibri" w:eastAsia="Calibri" w:hAnsi="Calibri"/>
          <w:color w:val="111827"/>
          <w:sz w:val="22"/>
          <w:szCs w:val="22"/>
        </w:rPr>
        <w:t xml:space="preserve">Je joins à ce courrier un document de position complet (8 sections, incluant une analyse juridique article par article, des données benchmark et une proposition de formulation pour le Code de Pratique), ainsi que l'ensemble de la documentation technique du protocole.</w:t>
      </w:r>
    </w:p>
    <w:p>
      <w:pPr>
        <w:spacing w:after="160" w:before="80" w:line="316"/>
      </w:pPr>
      <w:r>
        <w:rPr>
          <w:rFonts w:ascii="Calibri" w:cs="Calibri" w:eastAsia="Calibri" w:hAnsi="Calibri"/>
          <w:color w:val="111827"/>
          <w:sz w:val="22"/>
          <w:szCs w:val="22"/>
        </w:rPr>
        <w:t xml:space="preserve">SparkLayer est développé en open source, sous licence MIT pour le code et CC0 pour la spécification du protocole elle-même, afin de garantir une adoption maximale et d'éviter toute enclosure par brevet.</w:t>
      </w:r>
    </w:p>
    <w:p>
      <w:pPr>
        <w:spacing w:after="80" w:before="80"/>
      </w:pPr>
      <w:r>
        <w:t xml:space="preserve"/>
      </w:r>
    </w:p>
    <w:p>
      <w:pPr>
        <w:spacing w:after="160" w:before="80" w:line="316"/>
      </w:pPr>
      <w:r>
        <w:rPr>
          <w:rFonts w:ascii="Calibri" w:cs="Calibri" w:eastAsia="Calibri" w:hAnsi="Calibri"/>
          <w:color w:val="111827"/>
          <w:sz w:val="22"/>
          <w:szCs w:val="22"/>
        </w:rPr>
        <w:t xml:space="preserve">Je suis naturellement disponible pour présenter ces travaux à l'AI Office, participer aux consultations publiques, ou adapter la proposition aux besoins du processus réglementaire en cours.</w:t>
      </w:r>
    </w:p>
    <w:p>
      <w:pPr>
        <w:spacing w:after="160" w:before="80" w:line="316"/>
      </w:pPr>
      <w:r>
        <w:rPr>
          <w:rFonts w:ascii="Calibri" w:cs="Calibri" w:eastAsia="Calibri" w:hAnsi="Calibri"/>
          <w:color w:val="111827"/>
          <w:sz w:val="22"/>
          <w:szCs w:val="22"/>
        </w:rPr>
        <w:t xml:space="preserve">Dans l'attente de votre retour, je vous prie d'agréer, Madame, Monsieur, l'expression de mes respectueuses salutations.</w:t>
      </w:r>
    </w:p>
    <w:p>
      <w:pPr>
        <w:spacing w:after="160" w:before="160"/>
      </w:pPr>
      <w:r>
        <w:t xml:space="preserve"/>
      </w:r>
    </w:p>
    <w:p>
      <w:pPr>
        <w:spacing w:after="160" w:before="0" w:line="276"/>
        <w:jc w:val="left"/>
      </w:pPr>
      <w:r>
        <w:rPr>
          <w:rFonts w:ascii="Calibri" w:cs="Calibri" w:eastAsia="Calibri" w:hAnsi="Calibri"/>
          <w:b/>
          <w:bCs/>
          <w:i w:val="false"/>
          <w:iCs w:val="false"/>
          <w:color w:val="111827"/>
          <w:sz w:val="22"/>
          <w:szCs w:val="22"/>
        </w:rPr>
        <w:t xml:space="preserve">Romuald Martin</w:t>
      </w:r>
    </w:p>
    <w:p>
      <w:pPr>
        <w:spacing w:after="160" w:before="0" w:line="276"/>
        <w:jc w:val="left"/>
      </w:pPr>
      <w:r>
        <w:rPr>
          <w:rFonts w:ascii="Calibri" w:cs="Calibri" w:eastAsia="Calibri" w:hAnsi="Calibri"/>
          <w:b w:val="false"/>
          <w:bCs w:val="false"/>
          <w:i w:val="false"/>
          <w:iCs w:val="false"/>
          <w:color w:val="111827"/>
          <w:sz w:val="22"/>
          <w:szCs w:val="22"/>
        </w:rPr>
        <w:t xml:space="preserve">Chercheur indépendant</w:t>
      </w:r>
    </w:p>
    <w:p>
      <w:pPr>
        <w:spacing w:after="160" w:before="0" w:line="276"/>
        <w:jc w:val="left"/>
      </w:pPr>
      <w:r>
        <w:rPr>
          <w:rFonts w:ascii="Calibri" w:cs="Calibri" w:eastAsia="Calibri" w:hAnsi="Calibri"/>
          <w:b w:val="false"/>
          <w:bCs w:val="false"/>
          <w:i w:val="false"/>
          <w:iCs w:val="false"/>
          <w:color w:val="111827"/>
          <w:sz w:val="22"/>
          <w:szCs w:val="22"/>
        </w:rPr>
        <w:t xml:space="preserve">romuald.martin@gmail.com</w:t>
      </w:r>
    </w:p>
    <w:p>
      <w:pPr>
        <w:spacing w:after="160" w:before="0" w:line="276"/>
        <w:jc w:val="left"/>
      </w:pPr>
      <w:r>
        <w:rPr>
          <w:rFonts w:ascii="Calibri" w:cs="Calibri" w:eastAsia="Calibri" w:hAnsi="Calibri"/>
          <w:b w:val="false"/>
          <w:bCs w:val="false"/>
          <w:i w:val="false"/>
          <w:iCs w:val="false"/>
          <w:color w:val="111827"/>
          <w:sz w:val="22"/>
          <w:szCs w:val="22"/>
        </w:rPr>
        <w:t xml:space="preserve">Cabin Skolar — Bourgogne, France</w:t>
      </w:r>
    </w:p>
    <w:p>
      <w:pPr>
        <w:spacing w:after="160" w:before="160"/>
      </w:pPr>
      <w:r>
        <w:t xml:space="preserve"/>
      </w:r>
    </w:p>
    <w:p>
      <w:pPr>
        <w:spacing w:after="160" w:before="0" w:line="276"/>
        <w:jc w:val="left"/>
      </w:pPr>
      <w:r>
        <w:rPr>
          <w:rFonts w:ascii="Calibri" w:cs="Calibri" w:eastAsia="Calibri" w:hAnsi="Calibri"/>
          <w:b/>
          <w:bCs/>
          <w:i w:val="false"/>
          <w:iCs w:val="false"/>
          <w:color w:val="1B3A6B"/>
          <w:sz w:val="22"/>
          <w:szCs w:val="22"/>
        </w:rPr>
        <w:t xml:space="preserve">Pièces jointes :</w:t>
      </w:r>
    </w:p>
    <w:p>
      <w:pPr>
        <w:spacing w:after="160" w:before="0" w:line="276"/>
        <w:jc w:val="left"/>
      </w:pPr>
      <w:r>
        <w:rPr>
          <w:rFonts w:ascii="Calibri" w:cs="Calibri" w:eastAsia="Calibri" w:hAnsi="Calibri"/>
          <w:b w:val="false"/>
          <w:bCs w:val="false"/>
          <w:i w:val="false"/>
          <w:iCs w:val="false"/>
          <w:color w:val="111827"/>
          <w:sz w:val="22"/>
          <w:szCs w:val="22"/>
        </w:rPr>
        <w:t xml:space="preserve">1. SparkLayer Protocol — White Paper v2.0</w:t>
      </w:r>
    </w:p>
    <w:p>
      <w:pPr>
        <w:spacing w:after="160" w:before="0" w:line="276"/>
        <w:jc w:val="left"/>
      </w:pPr>
      <w:r>
        <w:rPr>
          <w:rFonts w:ascii="Calibri" w:cs="Calibri" w:eastAsia="Calibri" w:hAnsi="Calibri"/>
          <w:b w:val="false"/>
          <w:bCs w:val="false"/>
          <w:i w:val="false"/>
          <w:iCs w:val="false"/>
          <w:color w:val="111827"/>
          <w:sz w:val="22"/>
          <w:szCs w:val="22"/>
        </w:rPr>
        <w:t xml:space="preserve">2. Position Paper — EU AI Act GPAI Code of Practice</w:t>
      </w:r>
    </w:p>
    <w:p>
      <w:pPr>
        <w:spacing w:after="160" w:before="0" w:line="276"/>
        <w:jc w:val="left"/>
      </w:pPr>
      <w:r>
        <w:rPr>
          <w:rFonts w:ascii="Calibri" w:cs="Calibri" w:eastAsia="Calibri" w:hAnsi="Calibri"/>
          <w:b w:val="false"/>
          <w:bCs w:val="false"/>
          <w:i w:val="false"/>
          <w:iCs w:val="false"/>
          <w:color w:val="111827"/>
          <w:sz w:val="22"/>
          <w:szCs w:val="22"/>
        </w:rPr>
        <w:t xml:space="preserve">3. Schémas JSON (.spsk/.spk/.spki)</w:t>
      </w:r>
    </w:p>
    <w:p>
      <w:pPr>
        <w:spacing w:after="160" w:before="0" w:line="276"/>
        <w:jc w:val="left"/>
      </w:pPr>
      <w:r>
        <w:rPr>
          <w:rFonts w:ascii="Calibri" w:cs="Calibri" w:eastAsia="Calibri" w:hAnsi="Calibri"/>
          <w:b w:val="false"/>
          <w:bCs w:val="false"/>
          <w:i w:val="false"/>
          <w:iCs w:val="false"/>
          <w:color w:val="111827"/>
          <w:sz w:val="22"/>
          <w:szCs w:val="22"/>
        </w:rPr>
        <w:t xml:space="preserve">4. Rapport de benchmark (HTML vs .spk)</w:t>
      </w:r>
    </w:p>
    <w:p>
      <w:pPr>
        <w:spacing w:after="160" w:before="0" w:line="276"/>
        <w:jc w:val="left"/>
      </w:pPr>
      <w:r>
        <w:rPr>
          <w:rFonts w:ascii="Calibri" w:cs="Calibri" w:eastAsia="Calibri" w:hAnsi="Calibri"/>
          <w:b w:val="false"/>
          <w:bCs w:val="false"/>
          <w:i w:val="false"/>
          <w:iCs w:val="false"/>
          <w:color w:val="111827"/>
          <w:sz w:val="22"/>
          <w:szCs w:val="22"/>
        </w:rPr>
        <w:t xml:space="preserve">5. Code source — Sparkifier v0.1 (outil éditeur)</w:t>
      </w:r>
    </w:p>
    <w:p>
      <w:pPr>
        <w:spacing w:after="160" w:before="0" w:line="276"/>
        <w:jc w:val="left"/>
      </w:pPr>
      <w:r>
        <w:rPr>
          <w:rFonts w:ascii="Calibri" w:cs="Calibri" w:eastAsia="Calibri" w:hAnsi="Calibri"/>
          <w:b w:val="false"/>
          <w:bCs w:val="false"/>
          <w:i w:val="false"/>
          <w:iCs w:val="false"/>
          <w:color w:val="111827"/>
          <w:sz w:val="22"/>
          <w:szCs w:val="22"/>
        </w:rPr>
        <w:t xml:space="preserve">6. Code source — Agent Skill v0.1 (LangGraph/CrewAI)</w:t>
      </w:r>
    </w:p>
    <w:sectPr>
      <w:footerReference w:type="default" r:id="rId7"/>
      <w:pgSz w:w="11906" w:h="16838" w:orient="portrait"/>
      <w:pgMar w:top="1800" w:right="144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before="120"/>
      <w:jc w:val="right"/>
    </w:pPr>
    <w:r>
      <w:rPr>
        <w:rFonts w:ascii="Calibri" w:cs="Calibri" w:eastAsia="Calibri" w:hAnsi="Calibri"/>
        <w:color w:val="6B7280"/>
        <w:sz w:val="16"/>
        <w:szCs w:val="16"/>
      </w:rPr>
      <w:t xml:space="preserve">SparkLayer Protocol — Romuald Martin — romuald.martin@gmail.com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2026-05-03T12:50:46.099Z</dcterms:created>
  <dcterms:modified xsi:type="dcterms:W3CDTF">2026-05-03T12:50:46.099Z</dcterms:modified>
</cp:coreProperties>
</file>

<file path=docProps/custom.xml><?xml version="1.0" encoding="utf-8"?>
<Properties xmlns="http://schemas.openxmlformats.org/officeDocument/2006/custom-properties" xmlns:vt="http://schemas.openxmlformats.org/officeDocument/2006/docPropsVTypes"/>
</file>