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Calibri" w:cs="Calibri" w:eastAsia="Calibri" w:hAnsi="Calibri"/>
          <w:color w:val="6B7280"/>
          <w:spacing w:val="200"/>
          <w:sz w:val="18"/>
          <w:szCs w:val="18"/>
        </w:rPr>
        <w:t xml:space="preserve">POSITION PAPER</w:t>
      </w:r>
    </w:p>
    <w:p>
      <w:pPr>
        <w:spacing w:after="200" w:before="0"/>
      </w:pPr>
      <w:r>
        <w:rPr>
          <w:rFonts w:ascii="Georgia" w:cs="Georgia" w:eastAsia="Georgia" w:hAnsi="Georgia"/>
          <w:b/>
          <w:bCs/>
          <w:color w:val="1B3A6B"/>
          <w:sz w:val="56"/>
          <w:szCs w:val="56"/>
        </w:rPr>
        <w:t xml:space="preserve">SparkLayer Protocol</w:t>
      </w:r>
    </w:p>
    <w:p>
      <w:pPr>
        <w:spacing w:after="160" w:before="0"/>
      </w:pPr>
      <w:r>
        <w:rPr>
          <w:rFonts w:ascii="Georgia" w:cs="Georgia" w:eastAsia="Georgia" w:hAnsi="Georgia"/>
          <w:i/>
          <w:iCs/>
          <w:color w:val="2563EB"/>
          <w:sz w:val="28"/>
          <w:szCs w:val="28"/>
        </w:rPr>
        <w:t xml:space="preserve">A Technical Standard for AI Training Data Traceability and Publisher Compensation</w:t>
      </w:r>
    </w:p>
    <w:p>
      <w:pPr>
        <w:pBdr>
          <w:bottom w:val="single" w:color="2563EB" w:sz="12" w:space="1"/>
        </w:pBdr>
        <w:spacing w:after="400" w:before="0"/>
      </w:pPr>
      <w:r>
        <w:t xml:space="preserve"/>
      </w:r>
    </w:p>
    <w:p>
      <w:pPr>
        <w:spacing w:after="80" w:before="0"/>
      </w:pPr>
      <w:r>
        <w:rPr>
          <w:rFonts w:ascii="Calibri" w:cs="Calibri" w:eastAsia="Calibri" w:hAnsi="Calibri"/>
          <w:b/>
          <w:bCs/>
          <w:color w:val="6B7280"/>
          <w:sz w:val="20"/>
          <w:szCs w:val="20"/>
        </w:rPr>
        <w:t xml:space="preserve">Submitted to:</w:t>
      </w:r>
    </w:p>
    <w:p>
      <w:pPr>
        <w:spacing w:after="120" w:before="80" w:line="276"/>
      </w:pPr>
      <w:r>
        <w:rPr>
          <w:rFonts w:ascii="Calibri" w:cs="Calibri" w:eastAsia="Calibri" w:hAnsi="Calibri"/>
          <w:b w:val="false"/>
          <w:bCs w:val="false"/>
          <w:i w:val="false"/>
          <w:iCs w:val="false"/>
          <w:color w:val="111827"/>
          <w:sz w:val="22"/>
          <w:szCs w:val="22"/>
        </w:rPr>
        <w:t xml:space="preserve">EU AI Act GPAI Code of Practice — Public Consultation</w:t>
      </w:r>
    </w:p>
    <w:p>
      <w:pPr>
        <w:spacing w:after="120" w:before="80" w:line="276"/>
      </w:pPr>
      <w:r>
        <w:rPr>
          <w:rFonts w:ascii="Calibri" w:cs="Calibri" w:eastAsia="Calibri" w:hAnsi="Calibri"/>
          <w:b w:val="false"/>
          <w:bCs w:val="false"/>
          <w:i w:val="false"/>
          <w:iCs w:val="false"/>
          <w:color w:val="111827"/>
          <w:sz w:val="22"/>
          <w:szCs w:val="22"/>
        </w:rPr>
        <w:t xml:space="preserve">European Commission — DG CONNECT / AI Office</w:t>
      </w:r>
    </w:p>
    <w:p>
      <w:pPr>
        <w:spacing w:after="60" w:before="60"/>
      </w:pPr>
      <w:r>
        <w:t xml:space="preserve"/>
      </w:r>
    </w:p>
    <w:p>
      <w:pPr>
        <w:spacing w:after="80" w:before="0"/>
      </w:pPr>
      <w:r>
        <w:rPr>
          <w:rFonts w:ascii="Calibri" w:cs="Calibri" w:eastAsia="Calibri" w:hAnsi="Calibri"/>
          <w:b/>
          <w:bCs/>
          <w:color w:val="6B7280"/>
          <w:sz w:val="20"/>
          <w:szCs w:val="20"/>
        </w:rPr>
        <w:t xml:space="preserve">Author:</w:t>
      </w:r>
    </w:p>
    <w:p>
      <w:pPr>
        <w:spacing w:after="120" w:before="80" w:line="276"/>
      </w:pPr>
      <w:r>
        <w:rPr>
          <w:rFonts w:ascii="Calibri" w:cs="Calibri" w:eastAsia="Calibri" w:hAnsi="Calibri"/>
          <w:b w:val="false"/>
          <w:bCs w:val="false"/>
          <w:i w:val="false"/>
          <w:iCs w:val="false"/>
          <w:color w:val="111827"/>
          <w:sz w:val="22"/>
          <w:szCs w:val="22"/>
        </w:rPr>
        <w:t xml:space="preserve">Romuald Martin — Independent Researcher</w:t>
      </w:r>
    </w:p>
    <w:p>
      <w:pPr>
        <w:spacing w:after="120" w:before="80" w:line="276"/>
      </w:pPr>
      <w:r>
        <w:rPr>
          <w:rFonts w:ascii="Calibri" w:cs="Calibri" w:eastAsia="Calibri" w:hAnsi="Calibri"/>
          <w:b w:val="false"/>
          <w:bCs w:val="false"/>
          <w:i w:val="false"/>
          <w:iCs w:val="false"/>
          <w:color w:val="111827"/>
          <w:sz w:val="22"/>
          <w:szCs w:val="22"/>
        </w:rPr>
        <w:t xml:space="preserve">Cabin Skolar — Bourgogne, France</w:t>
      </w:r>
    </w:p>
    <w:p>
      <w:pPr>
        <w:spacing w:after="120" w:before="80" w:line="276"/>
      </w:pPr>
      <w:r>
        <w:rPr>
          <w:rFonts w:ascii="Calibri" w:cs="Calibri" w:eastAsia="Calibri" w:hAnsi="Calibri"/>
          <w:b w:val="false"/>
          <w:bCs w:val="false"/>
          <w:i w:val="false"/>
          <w:iCs w:val="false"/>
          <w:color w:val="111827"/>
          <w:sz w:val="22"/>
          <w:szCs w:val="22"/>
        </w:rPr>
        <w:t xml:space="preserve">romuald.martin@gmail.com</w:t>
      </w:r>
    </w:p>
    <w:p>
      <w:pPr>
        <w:spacing w:after="60" w:before="60"/>
      </w:pPr>
      <w:r>
        <w:t xml:space="preserve"/>
      </w:r>
    </w:p>
    <w:p>
      <w:pPr>
        <w:spacing w:after="80" w:before="0"/>
      </w:pPr>
      <w:r>
        <w:rPr>
          <w:rFonts w:ascii="Calibri" w:cs="Calibri" w:eastAsia="Calibri" w:hAnsi="Calibri"/>
          <w:b/>
          <w:bCs/>
          <w:color w:val="6B7280"/>
          <w:sz w:val="20"/>
          <w:szCs w:val="20"/>
        </w:rPr>
        <w:t xml:space="preserve">Date:</w:t>
      </w:r>
    </w:p>
    <w:p>
      <w:pPr>
        <w:spacing w:after="120" w:before="80" w:line="276"/>
      </w:pPr>
      <w:r>
        <w:rPr>
          <w:rFonts w:ascii="Calibri" w:cs="Calibri" w:eastAsia="Calibri" w:hAnsi="Calibri"/>
          <w:b w:val="false"/>
          <w:bCs w:val="false"/>
          <w:i w:val="false"/>
          <w:iCs w:val="false"/>
          <w:color w:val="111827"/>
          <w:sz w:val="22"/>
          <w:szCs w:val="22"/>
        </w:rPr>
        <w:t xml:space="preserve">May 2026</w:t>
      </w:r>
    </w:p>
    <w:p>
      <w:pPr>
        <w:spacing w:after="60" w:before="60"/>
      </w:pPr>
      <w:r>
        <w:t xml:space="preserve"/>
      </w:r>
    </w:p>
    <w:p>
      <w:pPr>
        <w:spacing w:after="80" w:before="0"/>
      </w:pPr>
      <w:r>
        <w:rPr>
          <w:rFonts w:ascii="Calibri" w:cs="Calibri" w:eastAsia="Calibri" w:hAnsi="Calibri"/>
          <w:b/>
          <w:bCs/>
          <w:color w:val="6B7280"/>
          <w:sz w:val="20"/>
          <w:szCs w:val="20"/>
        </w:rPr>
        <w:t xml:space="preserve">Document status:</w:t>
      </w:r>
    </w:p>
    <w:p>
      <w:pPr>
        <w:spacing w:after="120" w:before="80" w:line="276"/>
      </w:pPr>
      <w:r>
        <w:rPr>
          <w:rFonts w:ascii="Calibri" w:cs="Calibri" w:eastAsia="Calibri" w:hAnsi="Calibri"/>
          <w:b w:val="false"/>
          <w:bCs w:val="false"/>
          <w:i w:val="false"/>
          <w:iCs w:val="false"/>
          <w:color w:val="111827"/>
          <w:sz w:val="22"/>
          <w:szCs w:val="22"/>
        </w:rPr>
        <w:t xml:space="preserve">Public consultation submission — not confidential</w:t>
      </w:r>
    </w:p>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7" w:val="clear"/>
            <w:tcMar>
              <w:top w:type="dxa" w:w="200"/>
              <w:left w:type="dxa" w:w="300"/>
              <w:bottom w:type="dxa" w:w="200"/>
              <w:right w:type="dxa" w:w="300"/>
            </w:tcMar>
          </w:tcPr>
          <w:p>
            <w:pPr>
              <w:spacing w:after="120" w:before="0"/>
            </w:pPr>
            <w:r>
              <w:rPr>
                <w:rFonts w:ascii="Calibri" w:cs="Calibri" w:eastAsia="Calibri" w:hAnsi="Calibri"/>
                <w:b/>
                <w:bCs/>
                <w:color w:val="1B3A6B"/>
                <w:spacing w:val="100"/>
                <w:sz w:val="20"/>
                <w:szCs w:val="20"/>
              </w:rPr>
              <w:t xml:space="preserve">EXECUTIVE SUMMARY</w:t>
            </w:r>
          </w:p>
          <w:p>
            <w:pPr>
              <w:spacing w:after="0" w:before="0" w:line="276"/>
            </w:pPr>
            <w:r>
              <w:rPr>
                <w:rFonts w:ascii="Calibri" w:cs="Calibri" w:eastAsia="Calibri" w:hAnsi="Calibri"/>
                <w:color w:val="111827"/>
                <w:sz w:val="21"/>
                <w:szCs w:val="21"/>
              </w:rPr>
              <w:t xml:space="preserve">The EU AI Act creates legal obligations for GPAI model providers to document training data provenance and respect content licensing. No technical standard currently exists to implement these obligations at web scale. SparkLayer is a proposed open protocol that provides cryptographic content provenance, machine-readable licensing, publisher compensation mechanisms, and a full audit trail — directly implementing Articles 10 and 53 of the AI Act. This paper requests recognition of SparkLayer as a reference technical standard within the GPAI Code of Practice.</w:t>
            </w:r>
          </w:p>
        </w:tc>
      </w:tr>
    </w:tbl>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1. Context: The Training Data Accountability Gap</w:t>
      </w:r>
    </w:p>
    <w:p>
      <w:pPr>
        <w:spacing w:after="120" w:before="80" w:line="276"/>
      </w:pPr>
      <w:r>
        <w:rPr>
          <w:rFonts w:ascii="Calibri" w:cs="Calibri" w:eastAsia="Calibri" w:hAnsi="Calibri"/>
          <w:b w:val="false"/>
          <w:bCs w:val="false"/>
          <w:i w:val="false"/>
          <w:iCs w:val="false"/>
          <w:color w:val="111827"/>
          <w:sz w:val="22"/>
          <w:szCs w:val="22"/>
        </w:rPr>
        <w:t xml:space="preserve">The rapid development of General Purpose AI (GPAI) models has created a fundamental accountability gap: AI systems are trained on vast quantities of web content, but the legal and technical infrastructure to document, attribute, and compensate for this consumption does not exist at scale.</w:t>
      </w:r>
    </w:p>
    <w:p>
      <w:pPr>
        <w:spacing w:after="120" w:before="80" w:line="276"/>
      </w:pPr>
      <w:r>
        <w:rPr>
          <w:rFonts w:ascii="Calibri" w:cs="Calibri" w:eastAsia="Calibri" w:hAnsi="Calibri"/>
          <w:b w:val="false"/>
          <w:bCs w:val="false"/>
          <w:i w:val="false"/>
          <w:iCs w:val="false"/>
          <w:color w:val="111827"/>
          <w:sz w:val="22"/>
          <w:szCs w:val="22"/>
        </w:rPr>
        <w:t xml:space="preserve">The EU AI Act (Regulation EU 2024/1689) directly addresses this gap through obligations on GPAI model providers. However, translating these legal obligations into technical implementation requires a standard that does not yet exist.</w:t>
      </w:r>
    </w:p>
    <w:p>
      <w:pPr>
        <w:pStyle w:val="Heading3"/>
        <w:spacing w:after="80" w:before="200"/>
      </w:pPr>
      <w:r>
        <w:rPr>
          <w:rFonts w:ascii="Calibri" w:cs="Calibri" w:eastAsia="Calibri" w:hAnsi="Calibri"/>
          <w:b/>
          <w:bCs/>
          <w:color w:val="2563EB"/>
          <w:sz w:val="22"/>
          <w:szCs w:val="22"/>
        </w:rPr>
        <w:t xml:space="preserve">1.1 The Scale of the Problem</w:t>
      </w:r>
    </w:p>
    <w:p>
      <w:pPr>
        <w:spacing w:after="120" w:before="80" w:line="276"/>
      </w:pPr>
      <w:r>
        <w:rPr>
          <w:rFonts w:ascii="Calibri" w:cs="Calibri" w:eastAsia="Calibri" w:hAnsi="Calibri"/>
          <w:b w:val="false"/>
          <w:bCs w:val="false"/>
          <w:i w:val="false"/>
          <w:iCs w:val="false"/>
          <w:color w:val="111827"/>
          <w:sz w:val="22"/>
          <w:szCs w:val="22"/>
        </w:rPr>
        <w:t xml:space="preserve">Current estimates suggest that leading GPAI models are trained on hundreds of billions of tokens sourced from the web. The content creators — publishers, journalists, researchers, authors — receive no attribution, no compensation, and have no mechanism to verify how their content has been used.</w:t>
      </w:r>
    </w:p>
    <w:p>
      <w:pPr>
        <w:spacing w:after="120" w:before="80" w:line="276"/>
      </w:pPr>
      <w:r>
        <w:rPr>
          <w:rFonts w:ascii="Calibri" w:cs="Calibri" w:eastAsia="Calibri" w:hAnsi="Calibri"/>
          <w:b w:val="false"/>
          <w:bCs w:val="false"/>
          <w:i w:val="false"/>
          <w:iCs w:val="false"/>
          <w:color w:val="111827"/>
          <w:sz w:val="22"/>
          <w:szCs w:val="22"/>
        </w:rPr>
        <w:t xml:space="preserve">Existing mechanisms are structurally inadequate:</w:t>
      </w:r>
    </w:p>
    <w:p>
      <w:pPr>
        <w:pStyle w:val="ListParagraph"/>
        <w:numPr>
          <w:ilvl w:val="0"/>
          <w:numId w:val="2"/>
        </w:numPr>
        <w:spacing w:after="60" w:before="60"/>
      </w:pPr>
      <w:r>
        <w:rPr>
          <w:rFonts w:ascii="Calibri" w:cs="Calibri" w:eastAsia="Calibri" w:hAnsi="Calibri"/>
          <w:color w:val="111827"/>
          <w:sz w:val="22"/>
          <w:szCs w:val="22"/>
        </w:rPr>
        <w:t xml:space="preserve">robots.txt signals crawling preferences but has no enforcement mechanism and no legal standing</w:t>
      </w:r>
    </w:p>
    <w:p>
      <w:pPr>
        <w:pStyle w:val="ListParagraph"/>
        <w:numPr>
          <w:ilvl w:val="0"/>
          <w:numId w:val="2"/>
        </w:numPr>
        <w:spacing w:after="60" w:before="60"/>
      </w:pPr>
      <w:r>
        <w:rPr>
          <w:rFonts w:ascii="Calibri" w:cs="Calibri" w:eastAsia="Calibri" w:hAnsi="Calibri"/>
          <w:color w:val="111827"/>
          <w:sz w:val="22"/>
          <w:szCs w:val="22"/>
        </w:rPr>
        <w:t xml:space="preserve">Schema.org / JSON-LD provides semantic annotations but no access control, no provenance chain, and no economic primitives</w:t>
      </w:r>
    </w:p>
    <w:p>
      <w:pPr>
        <w:pStyle w:val="ListParagraph"/>
        <w:numPr>
          <w:ilvl w:val="0"/>
          <w:numId w:val="2"/>
        </w:numPr>
        <w:spacing w:after="60" w:before="60"/>
      </w:pPr>
      <w:r>
        <w:rPr>
          <w:rFonts w:ascii="Calibri" w:cs="Calibri" w:eastAsia="Calibri" w:hAnsi="Calibri"/>
          <w:color w:val="111827"/>
          <w:sz w:val="22"/>
          <w:szCs w:val="22"/>
        </w:rPr>
        <w:t xml:space="preserve">TDM reservation metadata (Article 4, DSM Directive) exists but has no standardised machine-readable format</w:t>
      </w:r>
    </w:p>
    <w:p>
      <w:pPr>
        <w:pStyle w:val="ListParagraph"/>
        <w:numPr>
          <w:ilvl w:val="0"/>
          <w:numId w:val="2"/>
        </w:numPr>
        <w:spacing w:after="60" w:before="60"/>
      </w:pPr>
      <w:r>
        <w:rPr>
          <w:rFonts w:ascii="Calibri" w:cs="Calibri" w:eastAsia="Calibri" w:hAnsi="Calibri"/>
          <w:color w:val="111827"/>
          <w:sz w:val="22"/>
          <w:szCs w:val="22"/>
        </w:rPr>
        <w:t xml:space="preserve">Publisher paywalls block human readers and compliant systems equally while being trivially bypassed by crawlers</w:t>
      </w:r>
    </w:p>
    <w:p>
      <w:pPr>
        <w:spacing w:after="60" w:before="60"/>
      </w:pPr>
      <w:r>
        <w:t xml:space="preserve"/>
      </w:r>
    </w:p>
    <w:p>
      <w:pPr>
        <w:spacing w:after="120" w:before="80" w:line="276"/>
      </w:pPr>
      <w:r>
        <w:rPr>
          <w:rFonts w:ascii="Calibri" w:cs="Calibri" w:eastAsia="Calibri" w:hAnsi="Calibri"/>
          <w:b w:val="false"/>
          <w:bCs w:val="false"/>
          <w:i w:val="false"/>
          <w:iCs w:val="false"/>
          <w:color w:val="111827"/>
          <w:sz w:val="22"/>
          <w:szCs w:val="22"/>
        </w:rPr>
        <w:t xml:space="preserve">The result is a systematic market failure: the economic value of web content is captured entirely by AI companies, with no mechanism for value redistribution to content creators.</w:t>
      </w:r>
    </w:p>
    <w:p>
      <w:pPr>
        <w:pStyle w:val="Heading3"/>
        <w:spacing w:after="80" w:before="200"/>
      </w:pPr>
      <w:r>
        <w:rPr>
          <w:rFonts w:ascii="Calibri" w:cs="Calibri" w:eastAsia="Calibri" w:hAnsi="Calibri"/>
          <w:b/>
          <w:bCs/>
          <w:color w:val="2563EB"/>
          <w:sz w:val="22"/>
          <w:szCs w:val="22"/>
        </w:rPr>
        <w:t xml:space="preserve">1.2 The Regulatory Opportunity</w:t>
      </w:r>
    </w:p>
    <w:p>
      <w:pPr>
        <w:spacing w:after="120" w:before="80" w:line="276"/>
      </w:pPr>
      <w:r>
        <w:rPr>
          <w:rFonts w:ascii="Calibri" w:cs="Calibri" w:eastAsia="Calibri" w:hAnsi="Calibri"/>
          <w:b w:val="false"/>
          <w:bCs w:val="false"/>
          <w:i w:val="false"/>
          <w:iCs w:val="false"/>
          <w:color w:val="111827"/>
          <w:sz w:val="22"/>
          <w:szCs w:val="22"/>
        </w:rPr>
        <w:t xml:space="preserve">The AI Act creates both an obligation and an opportunity. The obligation is clear — GPAI providers must document training data. The opportunity is less obvious: by establishing a technical standard now, the European Commission can define the infrastructure for a new economy of knowledge exchange between publishers and AI systems.</w:t>
      </w:r>
    </w:p>
    <w:p>
      <w:pPr>
        <w:spacing w:after="160" w:before="160"/>
        <w:ind w:left="720" w:right="720"/>
      </w:pPr>
      <w:r>
        <w:rPr>
          <w:rFonts w:ascii="Calibri" w:cs="Calibri" w:eastAsia="Calibri" w:hAnsi="Calibri"/>
          <w:b/>
          <w:bCs/>
          <w:i/>
          <w:iCs/>
          <w:color w:val="1B3A6B"/>
          <w:sz w:val="22"/>
          <w:szCs w:val="22"/>
        </w:rPr>
        <w:t xml:space="preserve">SparkLayer proposes to be that standard: an open protocol that transforms the legal obligations of the AI Act into implementable technical requirements.</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2. Legal Alignment: SparkLayer and the AI Act</w:t>
      </w:r>
    </w:p>
    <w:p>
      <w:pPr>
        <w:spacing w:after="120" w:before="80" w:line="276"/>
      </w:pPr>
      <w:r>
        <w:rPr>
          <w:rFonts w:ascii="Calibri" w:cs="Calibri" w:eastAsia="Calibri" w:hAnsi="Calibri"/>
          <w:b w:val="false"/>
          <w:bCs w:val="false"/>
          <w:i w:val="false"/>
          <w:iCs w:val="false"/>
          <w:color w:val="111827"/>
          <w:sz w:val="22"/>
          <w:szCs w:val="22"/>
        </w:rPr>
        <w:t xml:space="preserve">SparkLayer has been designed with specific reference to the AI Act's requirements. The following analysis maps each relevant obligation to the protocol's technical capabilities.</w:t>
      </w:r>
    </w:p>
    <w:p>
      <w:pPr>
        <w:pStyle w:val="Heading3"/>
        <w:spacing w:after="80" w:before="200"/>
      </w:pPr>
      <w:r>
        <w:rPr>
          <w:rFonts w:ascii="Calibri" w:cs="Calibri" w:eastAsia="Calibri" w:hAnsi="Calibri"/>
          <w:b/>
          <w:bCs/>
          <w:color w:val="2563EB"/>
          <w:sz w:val="22"/>
          <w:szCs w:val="22"/>
        </w:rPr>
        <w:t xml:space="preserve">2.1 Article 53 — Obligations for GPAI Model Providers</w:t>
      </w:r>
    </w:p>
    <w:p>
      <w:pPr>
        <w:spacing w:after="120" w:before="80" w:line="276"/>
      </w:pPr>
      <w:r>
        <w:rPr>
          <w:rFonts w:ascii="Calibri" w:cs="Calibri" w:eastAsia="Calibri" w:hAnsi="Calibri"/>
          <w:b w:val="false"/>
          <w:bCs w:val="false"/>
          <w:i w:val="false"/>
          <w:iCs w:val="false"/>
          <w:color w:val="111827"/>
          <w:sz w:val="22"/>
          <w:szCs w:val="22"/>
        </w:rPr>
        <w:t xml:space="preserve">Article 53(1)(d) requires GPAI providers to maintain 'sufficiently detailed summaries of the content used for training.' Article 53(1)(c) requires compliance with Union copyright law. SparkLayer addresses both:</w:t>
      </w:r>
    </w:p>
    <w:p>
      <w:pPr>
        <w:spacing w:after="60" w:before="60"/>
      </w:pPr>
      <w:r>
        <w:t xml:space="preserve"/>
      </w:r>
    </w:p>
    <w:p>
      <w:pPr>
        <w:spacing w:after="60" w:before="60"/>
      </w:pPr>
      <w:r>
        <w:rPr>
          <w:rFonts w:ascii="Calibri" w:cs="Calibri" w:eastAsia="Calibri" w:hAnsi="Calibri"/>
          <w:b/>
          <w:bCs/>
          <w:color w:val="2563EB"/>
          <w:sz w:val="22"/>
          <w:szCs w:val="22"/>
        </w:rPr>
        <w:t xml:space="preserve">Art. 53(1)(c) — Copyright compliance  </w:t>
      </w:r>
      <w:r>
        <w:rPr>
          <w:rFonts w:ascii="Calibri" w:cs="Calibri" w:eastAsia="Calibri" w:hAnsi="Calibri"/>
          <w:color w:val="111827"/>
          <w:sz w:val="22"/>
          <w:szCs w:val="22"/>
        </w:rPr>
        <w:t xml:space="preserve">SparkLayer's ia-license field provides machine-readable licensing per content block. Crawlers can programmatically verify permitted uses (train / finetune / display / rag) before ingestion. This creates an automated copyright compliance layer.</w:t>
      </w:r>
    </w:p>
    <w:p>
      <w:pPr>
        <w:spacing w:after="60" w:before="60"/>
      </w:pPr>
      <w:r>
        <w:t xml:space="preserve"/>
      </w:r>
    </w:p>
    <w:p>
      <w:pPr>
        <w:spacing w:after="60" w:before="60"/>
      </w:pPr>
      <w:r>
        <w:rPr>
          <w:rFonts w:ascii="Calibri" w:cs="Calibri" w:eastAsia="Calibri" w:hAnsi="Calibri"/>
          <w:b/>
          <w:bCs/>
          <w:color w:val="2563EB"/>
          <w:sz w:val="22"/>
          <w:szCs w:val="22"/>
        </w:rPr>
        <w:t xml:space="preserve">Art. 53(1)(d) — Training data summaries  </w:t>
      </w:r>
      <w:r>
        <w:rPr>
          <w:rFonts w:ascii="Calibri" w:cs="Calibri" w:eastAsia="Calibri" w:hAnsi="Calibri"/>
          <w:color w:val="111827"/>
          <w:sz w:val="22"/>
          <w:szCs w:val="22"/>
        </w:rPr>
        <w:t xml:space="preserve">Every .spk document carries cryptographically signed provenance metadata: author, publisher, publication date, version, editorial review status, and content hash. This directly constitutes the 'sufficiently detailed summary' required by the regulation.</w:t>
      </w:r>
    </w:p>
    <w:p>
      <w:pPr>
        <w:spacing w:after="60" w:before="60"/>
      </w:pPr>
      <w:r>
        <w:t xml:space="preserve"/>
      </w:r>
    </w:p>
    <w:p>
      <w:pPr>
        <w:spacing w:after="60" w:before="60"/>
      </w:pPr>
      <w:r>
        <w:rPr>
          <w:rFonts w:ascii="Calibri" w:cs="Calibri" w:eastAsia="Calibri" w:hAnsi="Calibri"/>
          <w:b/>
          <w:bCs/>
          <w:color w:val="2563EB"/>
          <w:sz w:val="22"/>
          <w:szCs w:val="22"/>
        </w:rPr>
        <w:t xml:space="preserve">Art. 53(1)(b) — TDM reservation  </w:t>
      </w:r>
      <w:r>
        <w:rPr>
          <w:rFonts w:ascii="Calibri" w:cs="Calibri" w:eastAsia="Calibri" w:hAnsi="Calibri"/>
          <w:color w:val="111827"/>
          <w:sz w:val="22"/>
          <w:szCs w:val="22"/>
        </w:rPr>
        <w:t xml:space="preserve">SparkLayer implements machine-readable TDM reservation at block level, extending and operationalising the Article 4 DSM Directive reservation mechanism. Publishers can declare ia-usage='non-commercial' or ia-usage='display-only' per content block.</w:t>
      </w:r>
    </w:p>
    <w:p>
      <w:pPr>
        <w:pStyle w:val="Heading3"/>
        <w:spacing w:after="80" w:before="200"/>
      </w:pPr>
      <w:r>
        <w:rPr>
          <w:rFonts w:ascii="Calibri" w:cs="Calibri" w:eastAsia="Calibri" w:hAnsi="Calibri"/>
          <w:b/>
          <w:bCs/>
          <w:color w:val="2563EB"/>
          <w:sz w:val="22"/>
          <w:szCs w:val="22"/>
        </w:rPr>
        <w:t xml:space="preserve">2.2 Article 10 — Data and Data Governance</w:t>
      </w:r>
    </w:p>
    <w:p>
      <w:pPr>
        <w:spacing w:after="120" w:before="80" w:line="276"/>
      </w:pPr>
      <w:r>
        <w:rPr>
          <w:rFonts w:ascii="Calibri" w:cs="Calibri" w:eastAsia="Calibri" w:hAnsi="Calibri"/>
          <w:b w:val="false"/>
          <w:bCs w:val="false"/>
          <w:i w:val="false"/>
          <w:iCs w:val="false"/>
          <w:color w:val="111827"/>
          <w:sz w:val="22"/>
          <w:szCs w:val="22"/>
        </w:rPr>
        <w:t xml:space="preserve">Article 10(2) requires training datasets to have 'appropriate quality characteristics.' Article 10(5) requires documentation of provenance. SparkLayer provides:</w:t>
      </w:r>
    </w:p>
    <w:p>
      <w:pPr>
        <w:pStyle w:val="ListParagraph"/>
        <w:numPr>
          <w:ilvl w:val="0"/>
          <w:numId w:val="2"/>
        </w:numPr>
        <w:spacing w:after="60" w:before="60"/>
      </w:pPr>
      <w:r>
        <w:rPr>
          <w:rFonts w:ascii="Calibri" w:cs="Calibri" w:eastAsia="Calibri" w:hAnsi="Calibri"/>
          <w:color w:val="111827"/>
          <w:sz w:val="22"/>
          <w:szCs w:val="22"/>
        </w:rPr>
        <w:t xml:space="preserve">Cryptographic content integrity (SHA-256 hash + Ed25519 signature per document)</w:t>
      </w:r>
    </w:p>
    <w:p>
      <w:pPr>
        <w:pStyle w:val="ListParagraph"/>
        <w:numPr>
          <w:ilvl w:val="0"/>
          <w:numId w:val="2"/>
        </w:numPr>
        <w:spacing w:after="60" w:before="60"/>
      </w:pPr>
      <w:r>
        <w:rPr>
          <w:rFonts w:ascii="Calibri" w:cs="Calibri" w:eastAsia="Calibri" w:hAnsi="Calibri"/>
          <w:color w:val="111827"/>
          <w:sz w:val="22"/>
          <w:szCs w:val="22"/>
        </w:rPr>
        <w:t xml:space="preserve">Publisher-declared quality flags (editorial_review, fact_checked, version)</w:t>
      </w:r>
    </w:p>
    <w:p>
      <w:pPr>
        <w:pStyle w:val="ListParagraph"/>
        <w:numPr>
          <w:ilvl w:val="0"/>
          <w:numId w:val="2"/>
        </w:numPr>
        <w:spacing w:after="60" w:before="60"/>
      </w:pPr>
      <w:r>
        <w:rPr>
          <w:rFonts w:ascii="Calibri" w:cs="Calibri" w:eastAsia="Calibri" w:hAnsi="Calibri"/>
          <w:color w:val="111827"/>
          <w:sz w:val="22"/>
          <w:szCs w:val="22"/>
        </w:rPr>
        <w:t xml:space="preserve">Provenance chain from original URL through signing key to ingesting agent</w:t>
      </w:r>
    </w:p>
    <w:p>
      <w:pPr>
        <w:pStyle w:val="ListParagraph"/>
        <w:numPr>
          <w:ilvl w:val="0"/>
          <w:numId w:val="2"/>
        </w:numPr>
        <w:spacing w:after="60" w:before="60"/>
      </w:pPr>
      <w:r>
        <w:rPr>
          <w:rFonts w:ascii="Calibri" w:cs="Calibri" w:eastAsia="Calibri" w:hAnsi="Calibri"/>
          <w:color w:val="111827"/>
          <w:sz w:val="22"/>
          <w:szCs w:val="22"/>
        </w:rPr>
        <w:t xml:space="preserve">Temporal validity metadata (datePublished, dateModified, last_verified)</w:t>
      </w:r>
    </w:p>
    <w:p>
      <w:pPr>
        <w:pStyle w:val="Heading3"/>
        <w:spacing w:after="80" w:before="200"/>
      </w:pPr>
      <w:r>
        <w:rPr>
          <w:rFonts w:ascii="Calibri" w:cs="Calibri" w:eastAsia="Calibri" w:hAnsi="Calibri"/>
          <w:b/>
          <w:bCs/>
          <w:color w:val="2563EB"/>
          <w:sz w:val="22"/>
          <w:szCs w:val="22"/>
        </w:rPr>
        <w:t xml:space="preserve">2.3 Recital 106 and GPAI Transparency</w:t>
      </w:r>
    </w:p>
    <w:p>
      <w:pPr>
        <w:spacing w:after="120" w:before="80" w:line="276"/>
      </w:pPr>
      <w:r>
        <w:rPr>
          <w:rFonts w:ascii="Calibri" w:cs="Calibri" w:eastAsia="Calibri" w:hAnsi="Calibri"/>
          <w:b w:val="false"/>
          <w:bCs w:val="false"/>
          <w:i w:val="false"/>
          <w:iCs w:val="false"/>
          <w:color w:val="111827"/>
          <w:sz w:val="22"/>
          <w:szCs w:val="22"/>
        </w:rPr>
        <w:t xml:space="preserve">Recital 106 acknowledges the need for 'appropriate technical standards' to implement GPAI obligations. SparkLayer is submitted as precisely this: a technical standard designed for regulatory implementation, not as a commercial product.</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3. Technical Specification Summary</w:t>
      </w:r>
    </w:p>
    <w:p>
      <w:pPr>
        <w:spacing w:after="120" w:before="80" w:line="276"/>
      </w:pPr>
      <w:r>
        <w:rPr>
          <w:rFonts w:ascii="Calibri" w:cs="Calibri" w:eastAsia="Calibri" w:hAnsi="Calibri"/>
          <w:b w:val="false"/>
          <w:bCs w:val="false"/>
          <w:i w:val="false"/>
          <w:iCs w:val="false"/>
          <w:color w:val="111827"/>
          <w:sz w:val="22"/>
          <w:szCs w:val="22"/>
        </w:rPr>
        <w:t xml:space="preserve">SparkLayer defines three file formats that together constitute a complete provenance and access control layer for web content:</w:t>
      </w:r>
    </w:p>
    <w:p>
      <w:pPr>
        <w:pStyle w:val="Heading3"/>
        <w:spacing w:after="80" w:before="200"/>
      </w:pPr>
      <w:r>
        <w:rPr>
          <w:rFonts w:ascii="Calibri" w:cs="Calibri" w:eastAsia="Calibri" w:hAnsi="Calibri"/>
          <w:b/>
          <w:bCs/>
          <w:color w:val="2563EB"/>
          <w:sz w:val="22"/>
          <w:szCs w:val="22"/>
        </w:rPr>
        <w:t xml:space="preserve">3.1 The Three-File Protocol</w:t>
      </w:r>
    </w:p>
    <w:p>
      <w:pPr>
        <w:pStyle w:val="ListParagraph"/>
        <w:numPr>
          <w:ilvl w:val="0"/>
          <w:numId w:val="2"/>
        </w:numPr>
        <w:spacing w:after="60" w:before="60"/>
      </w:pPr>
      <w:r>
        <w:rPr>
          <w:rFonts w:ascii="Calibri" w:cs="Calibri" w:eastAsia="Calibri" w:hAnsi="Calibri"/>
          <w:color w:val="111827"/>
          <w:sz w:val="22"/>
          <w:szCs w:val="22"/>
        </w:rPr>
        <w:t xml:space="preserve">.spsk (Spark Protocol Site Key) — Public manifest served at /.well-known/spark.spsk. Contains publisher identity, Ed25519 public keys, and pointers to content resources. Analogous to a DNS record for AI content access.</w:t>
      </w:r>
    </w:p>
    <w:p>
      <w:pPr>
        <w:pStyle w:val="ListParagraph"/>
        <w:numPr>
          <w:ilvl w:val="0"/>
          <w:numId w:val="2"/>
        </w:numPr>
        <w:spacing w:after="60" w:before="60"/>
      </w:pPr>
      <w:r>
        <w:rPr>
          <w:rFonts w:ascii="Calibri" w:cs="Calibri" w:eastAsia="Calibri" w:hAnsi="Calibri"/>
          <w:color w:val="111827"/>
          <w:sz w:val="22"/>
          <w:szCs w:val="22"/>
        </w:rPr>
        <w:t xml:space="preserve">.spk (Spark Protocol Knowledge) — Signed, depth-layered semantic representation of a content resource. Contains the knowledge graph partitioned by access level, with provenance metadata and cryptographic integrity proof.</w:t>
      </w:r>
    </w:p>
    <w:p>
      <w:pPr>
        <w:pStyle w:val="ListParagraph"/>
        <w:numPr>
          <w:ilvl w:val="0"/>
          <w:numId w:val="2"/>
        </w:numPr>
        <w:spacing w:after="60" w:before="60"/>
      </w:pPr>
      <w:r>
        <w:rPr>
          <w:rFonts w:ascii="Calibri" w:cs="Calibri" w:eastAsia="Calibri" w:hAnsi="Calibri"/>
          <w:color w:val="111827"/>
          <w:sz w:val="22"/>
          <w:szCs w:val="22"/>
        </w:rPr>
        <w:t xml:space="preserve">.spki (Spark Protocol Knowledge Interface) — Signed action surface descriptor. Defines operations that autonomous agents can invoke, with declared intents, access levels, and economic terms.</w:t>
      </w:r>
    </w:p>
    <w:p>
      <w:pPr>
        <w:pStyle w:val="Heading3"/>
        <w:spacing w:after="80" w:before="200"/>
      </w:pPr>
      <w:r>
        <w:rPr>
          <w:rFonts w:ascii="Calibri" w:cs="Calibri" w:eastAsia="Calibri" w:hAnsi="Calibri"/>
          <w:b/>
          <w:bCs/>
          <w:color w:val="2563EB"/>
          <w:sz w:val="22"/>
          <w:szCs w:val="22"/>
        </w:rPr>
        <w:t xml:space="preserve">3.2 Provenance Architecture</w:t>
      </w:r>
    </w:p>
    <w:p>
      <w:pPr>
        <w:spacing w:after="120" w:before="80" w:line="276"/>
      </w:pPr>
      <w:r>
        <w:rPr>
          <w:rFonts w:ascii="Calibri" w:cs="Calibri" w:eastAsia="Calibri" w:hAnsi="Calibri"/>
          <w:b w:val="false"/>
          <w:bCs w:val="false"/>
          <w:i w:val="false"/>
          <w:iCs w:val="false"/>
          <w:color w:val="111827"/>
          <w:sz w:val="22"/>
          <w:szCs w:val="22"/>
        </w:rPr>
        <w:t xml:space="preserve">Each .spk document carries a mandatory integrity block:</w:t>
      </w:r>
    </w:p>
    <w:p>
      <w:pPr>
        <w:spacing w:after="120" w:before="120"/>
        <w:ind w:left="720"/>
      </w:pPr>
      <w:r>
        <w:rPr>
          <w:rFonts w:ascii="Courier New" w:cs="Courier New" w:eastAsia="Courier New" w:hAnsi="Courier New"/>
          <w:color w:val="444444"/>
          <w:sz w:val="18"/>
          <w:szCs w:val="18"/>
        </w:rPr>
        <w:t xml:space="preserve">{ "hash_algorithm": "SHA-256", "content_hash": "&lt;hash&gt;", "signature": "&lt;Ed25519&gt;", "signing_key": "spark:key:publisher.com:primary", "signed_at": "ISO8601" }</w:t>
      </w:r>
    </w:p>
    <w:p>
      <w:pPr>
        <w:spacing w:after="120" w:before="80" w:line="276"/>
      </w:pPr>
      <w:r>
        <w:rPr>
          <w:rFonts w:ascii="Calibri" w:cs="Calibri" w:eastAsia="Calibri" w:hAnsi="Calibri"/>
          <w:b w:val="false"/>
          <w:bCs w:val="false"/>
          <w:i w:val="false"/>
          <w:iCs w:val="false"/>
          <w:color w:val="111827"/>
          <w:sz w:val="22"/>
          <w:szCs w:val="22"/>
        </w:rPr>
        <w:t xml:space="preserve">This provides: (1) proof that content has not been modified since publication, (2) attribution to a specific publisher identity, (3) a timestamp for the signing event. Together these constitute a legally meaningful provenance record.</w:t>
      </w:r>
    </w:p>
    <w:p>
      <w:pPr>
        <w:pStyle w:val="Heading3"/>
        <w:spacing w:after="80" w:before="200"/>
      </w:pPr>
      <w:r>
        <w:rPr>
          <w:rFonts w:ascii="Calibri" w:cs="Calibri" w:eastAsia="Calibri" w:hAnsi="Calibri"/>
          <w:b/>
          <w:bCs/>
          <w:color w:val="2563EB"/>
          <w:sz w:val="22"/>
          <w:szCs w:val="22"/>
        </w:rPr>
        <w:t xml:space="preserve">3.3 Depth-Based Access and Licensing</w:t>
      </w:r>
    </w:p>
    <w:p>
      <w:pPr>
        <w:spacing w:after="120" w:before="80" w:line="276"/>
      </w:pPr>
      <w:r>
        <w:rPr>
          <w:rFonts w:ascii="Calibri" w:cs="Calibri" w:eastAsia="Calibri" w:hAnsi="Calibri"/>
          <w:b w:val="false"/>
          <w:bCs w:val="false"/>
          <w:i w:val="false"/>
          <w:iCs w:val="false"/>
          <w:color w:val="111827"/>
          <w:sz w:val="22"/>
          <w:szCs w:val="22"/>
        </w:rPr>
        <w:t xml:space="preserve">Content is partitioned into depth layers (0-N), each with independently configurable access levels and usage rights:</w:t>
      </w:r>
    </w:p>
    <w:p>
      <w:pPr>
        <w:pStyle w:val="ListParagraph"/>
        <w:numPr>
          <w:ilvl w:val="0"/>
          <w:numId w:val="2"/>
        </w:numPr>
        <w:spacing w:after="60" w:before="60"/>
      </w:pPr>
      <w:r>
        <w:rPr>
          <w:rFonts w:ascii="Calibri" w:cs="Calibri" w:eastAsia="Calibri" w:hAnsi="Calibri"/>
          <w:color w:val="111827"/>
          <w:sz w:val="22"/>
          <w:szCs w:val="22"/>
        </w:rPr>
        <w:t xml:space="preserve">depth_0: Public summary, freely available to all agents</w:t>
      </w:r>
    </w:p>
    <w:p>
      <w:pPr>
        <w:pStyle w:val="ListParagraph"/>
        <w:numPr>
          <w:ilvl w:val="0"/>
          <w:numId w:val="2"/>
        </w:numPr>
        <w:spacing w:after="60" w:before="60"/>
      </w:pPr>
      <w:r>
        <w:rPr>
          <w:rFonts w:ascii="Calibri" w:cs="Calibri" w:eastAsia="Calibri" w:hAnsi="Calibri"/>
          <w:color w:val="111827"/>
          <w:sz w:val="22"/>
          <w:szCs w:val="22"/>
        </w:rPr>
        <w:t xml:space="preserve">depth_1: Full structured content, available to compliant agents</w:t>
      </w:r>
    </w:p>
    <w:p>
      <w:pPr>
        <w:pStyle w:val="ListParagraph"/>
        <w:numPr>
          <w:ilvl w:val="0"/>
          <w:numId w:val="2"/>
        </w:numPr>
        <w:spacing w:after="60" w:before="60"/>
      </w:pPr>
      <w:r>
        <w:rPr>
          <w:rFonts w:ascii="Calibri" w:cs="Calibri" w:eastAsia="Calibri" w:hAnsi="Calibri"/>
          <w:color w:val="111827"/>
          <w:sz w:val="22"/>
          <w:szCs w:val="22"/>
        </w:rPr>
        <w:t xml:space="preserve">depth_2: Premium content, token-payment required</w:t>
      </w:r>
    </w:p>
    <w:p>
      <w:pPr>
        <w:pStyle w:val="ListParagraph"/>
        <w:numPr>
          <w:ilvl w:val="0"/>
          <w:numId w:val="2"/>
        </w:numPr>
        <w:spacing w:after="60" w:before="60"/>
      </w:pPr>
      <w:r>
        <w:rPr>
          <w:rFonts w:ascii="Calibri" w:cs="Calibri" w:eastAsia="Calibri" w:hAnsi="Calibri"/>
          <w:color w:val="111827"/>
          <w:sz w:val="22"/>
          <w:szCs w:val="22"/>
        </w:rPr>
        <w:t xml:space="preserve">depth_3: Dataset/research material, vault access required</w:t>
      </w:r>
    </w:p>
    <w:p>
      <w:pPr>
        <w:spacing w:after="120" w:before="80" w:line="276"/>
      </w:pPr>
      <w:r>
        <w:rPr>
          <w:rFonts w:ascii="Calibri" w:cs="Calibri" w:eastAsia="Calibri" w:hAnsi="Calibri"/>
          <w:b w:val="false"/>
          <w:bCs w:val="false"/>
          <w:i w:val="false"/>
          <w:iCs w:val="false"/>
          <w:color w:val="111827"/>
          <w:sz w:val="22"/>
          <w:szCs w:val="22"/>
        </w:rPr>
        <w:t xml:space="preserve">Usage rights are declared per layer: [train, finetune, display, rag, inference]. A regulator audit can verify that content was only used for declared purposes.</w:t>
      </w:r>
    </w:p>
    <w:p>
      <w:pPr>
        <w:pStyle w:val="Heading3"/>
        <w:spacing w:after="80" w:before="200"/>
      </w:pPr>
      <w:r>
        <w:rPr>
          <w:rFonts w:ascii="Calibri" w:cs="Calibri" w:eastAsia="Calibri" w:hAnsi="Calibri"/>
          <w:b/>
          <w:bCs/>
          <w:color w:val="2563EB"/>
          <w:sz w:val="22"/>
          <w:szCs w:val="22"/>
        </w:rPr>
        <w:t xml:space="preserve">3.4 Compliance Levels</w:t>
      </w:r>
    </w:p>
    <w:p>
      <w:pPr>
        <w:spacing w:after="120" w:before="80" w:line="276"/>
      </w:pPr>
      <w:r>
        <w:rPr>
          <w:rFonts w:ascii="Calibri" w:cs="Calibri" w:eastAsia="Calibri" w:hAnsi="Calibri"/>
          <w:b w:val="false"/>
          <w:bCs w:val="false"/>
          <w:i w:val="false"/>
          <w:iCs w:val="false"/>
          <w:color w:val="111827"/>
          <w:sz w:val="22"/>
          <w:szCs w:val="22"/>
        </w:rPr>
        <w:t xml:space="preserve">SparkLayer defines four crawler compliance levels, creating a framework for progressive enforcement:</w:t>
      </w:r>
    </w:p>
    <w:p>
      <w:pPr>
        <w:pStyle w:val="ListParagraph"/>
        <w:numPr>
          <w:ilvl w:val="0"/>
          <w:numId w:val="2"/>
        </w:numPr>
        <w:spacing w:after="60" w:before="60"/>
      </w:pPr>
      <w:r>
        <w:rPr>
          <w:rFonts w:ascii="Calibri" w:cs="Calibri" w:eastAsia="Calibri" w:hAnsi="Calibri"/>
          <w:color w:val="111827"/>
          <w:sz w:val="22"/>
          <w:szCs w:val="22"/>
        </w:rPr>
        <w:t xml:space="preserve">Level 0: Non-compliant — ignores protocol, receives only depth_0 or synthetic decoy data</w:t>
      </w:r>
    </w:p>
    <w:p>
      <w:pPr>
        <w:pStyle w:val="ListParagraph"/>
        <w:numPr>
          <w:ilvl w:val="0"/>
          <w:numId w:val="2"/>
        </w:numPr>
        <w:spacing w:after="60" w:before="60"/>
      </w:pPr>
      <w:r>
        <w:rPr>
          <w:rFonts w:ascii="Calibri" w:cs="Calibri" w:eastAsia="Calibri" w:hAnsi="Calibri"/>
          <w:color w:val="111827"/>
          <w:sz w:val="22"/>
          <w:szCs w:val="22"/>
        </w:rPr>
        <w:t xml:space="preserve">Level 1: Basic — respects depth limits and provenance metadata</w:t>
      </w:r>
    </w:p>
    <w:p>
      <w:pPr>
        <w:pStyle w:val="ListParagraph"/>
        <w:numPr>
          <w:ilvl w:val="0"/>
          <w:numId w:val="2"/>
        </w:numPr>
        <w:spacing w:after="60" w:before="60"/>
      </w:pPr>
      <w:r>
        <w:rPr>
          <w:rFonts w:ascii="Calibri" w:cs="Calibri" w:eastAsia="Calibri" w:hAnsi="Calibri"/>
          <w:color w:val="111827"/>
          <w:sz w:val="22"/>
          <w:szCs w:val="22"/>
        </w:rPr>
        <w:t xml:space="preserve">Level 2: Monetisation — implements payment mechanisms for depth-gated content</w:t>
      </w:r>
    </w:p>
    <w:p>
      <w:pPr>
        <w:pStyle w:val="ListParagraph"/>
        <w:numPr>
          <w:ilvl w:val="0"/>
          <w:numId w:val="2"/>
        </w:numPr>
        <w:spacing w:after="60" w:before="60"/>
      </w:pPr>
      <w:r>
        <w:rPr>
          <w:rFonts w:ascii="Calibri" w:cs="Calibri" w:eastAsia="Calibri" w:hAnsi="Calibri"/>
          <w:color w:val="111827"/>
          <w:sz w:val="22"/>
          <w:szCs w:val="22"/>
        </w:rPr>
        <w:t xml:space="preserve">Level 3: Ethical — enforces usage restrictions, provides attribution in model outputs, submits transparency reports</w:t>
      </w:r>
    </w:p>
    <w:p>
      <w:pPr>
        <w:spacing w:after="120" w:before="80" w:line="276"/>
      </w:pPr>
      <w:r>
        <w:rPr>
          <w:rFonts w:ascii="Calibri" w:cs="Calibri" w:eastAsia="Calibri" w:hAnsi="Calibri"/>
          <w:b w:val="false"/>
          <w:bCs w:val="false"/>
          <w:i w:val="false"/>
          <w:iCs w:val="false"/>
          <w:color w:val="111827"/>
          <w:sz w:val="22"/>
          <w:szCs w:val="22"/>
        </w:rPr>
        <w:t xml:space="preserve">Level 3 compliance directly addresses the GPAI transparency obligations of Article 53.</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4. Comparison with Existing Standards</w:t>
      </w:r>
    </w:p>
    <w:p>
      <w:pPr>
        <w:spacing w:after="120" w:before="80" w:line="276"/>
      </w:pPr>
      <w:r>
        <w:rPr>
          <w:rFonts w:ascii="Calibri" w:cs="Calibri" w:eastAsia="Calibri" w:hAnsi="Calibri"/>
          <w:b w:val="false"/>
          <w:bCs w:val="false"/>
          <w:i w:val="false"/>
          <w:iCs w:val="false"/>
          <w:color w:val="111827"/>
          <w:sz w:val="22"/>
          <w:szCs w:val="22"/>
        </w:rPr>
        <w:t xml:space="preserve">The following table compares SparkLayer against existing mechanisms relevant to AI Act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robots.txt</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Schema.org / JSON-LD</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SparkLayer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Semantic content 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Partial</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Access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Domain-level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Per-block +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Provenance 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Optional</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Mandatory + signed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Licensing machine-readable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Descriptive only</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Enforced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AI training rights declaration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Per-block (train/finetune/display)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Cryptographic integrity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Ed25519 signature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Audit trail for regulators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Full transaction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Economic compensation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Token bank + settlement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AI Act Art. 53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Partial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Partial</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Full</w:t>
            </w:r>
          </w:p>
        </w:tc>
      </w:tr>
    </w:tbl>
    <w:p>
      <w:pPr>
        <w:spacing w:after="60" w:before="60"/>
      </w:pPr>
      <w:r>
        <w:t xml:space="preserve"/>
      </w:r>
    </w:p>
    <w:p>
      <w:pPr>
        <w:spacing w:after="120" w:before="80" w:line="276"/>
      </w:pPr>
      <w:r>
        <w:rPr>
          <w:rFonts w:ascii="Calibri" w:cs="Calibri" w:eastAsia="Calibri" w:hAnsi="Calibri"/>
          <w:b w:val="false"/>
          <w:bCs w:val="false"/>
          <w:i w:val="false"/>
          <w:iCs w:val="false"/>
          <w:color w:val="111827"/>
          <w:sz w:val="22"/>
          <w:szCs w:val="22"/>
        </w:rPr>
        <w:t xml:space="preserve">No existing standard provides the complete set of capabilities required for AI Act compliance. SparkLayer is the only proposal that addresses all four dimensions: semantic structure, access control, provenance, and economic compensation.</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5. Technical Performance Evidence</w:t>
      </w:r>
    </w:p>
    <w:p>
      <w:pPr>
        <w:spacing w:after="120" w:before="80" w:line="276"/>
      </w:pPr>
      <w:r>
        <w:rPr>
          <w:rFonts w:ascii="Calibri" w:cs="Calibri" w:eastAsia="Calibri" w:hAnsi="Calibri"/>
          <w:b w:val="false"/>
          <w:bCs w:val="false"/>
          <w:i w:val="false"/>
          <w:iCs w:val="false"/>
          <w:color w:val="111827"/>
          <w:sz w:val="22"/>
          <w:szCs w:val="22"/>
        </w:rPr>
        <w:t xml:space="preserve">A synthetic benchmark was conducted comparing HTML scraping (current practice) against SparkLayer .spk consumption. Key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c>
          <w:tcPr>
            <w:tcW w:type="dxa" w:w="3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0"/>
                <w:szCs w:val="20"/>
              </w:rPr>
              <w:t xml:space="preserve">HTML Scraping</w:t>
            </w:r>
          </w:p>
        </w:tc>
        <w:tc>
          <w:tcPr>
            <w:tcW w:type="dxa" w:w="2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0"/>
                <w:szCs w:val="20"/>
              </w:rPr>
              <w:t xml:space="preserve">SparkLayer .spk</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LLM inference calls per document</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4 calls</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0 calls (−100%)</w:t>
            </w:r>
          </w:p>
        </w:tc>
      </w:tr>
      <w:tr>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End-to-end processing time</w:t>
            </w:r>
          </w:p>
        </w:tc>
        <w:tc>
          <w:tcPr>
            <w:tcW w:type="dxa" w:w="2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9,170ms</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262ms (35x faster)</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Processing cost per document</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$0.044</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$0.000 (−100%)</w:t>
            </w:r>
          </w:p>
        </w:tc>
      </w:tr>
      <w:tr>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Immediately actionable content</w:t>
            </w:r>
          </w:p>
        </w:tc>
        <w:tc>
          <w:tcPr>
            <w:tcW w:type="dxa" w:w="2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30%</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100% (+70pp)</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Hallucination risk score</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72%</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18% (−54%)</w:t>
            </w:r>
          </w:p>
        </w:tc>
      </w:tr>
      <w:tr>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Provenance coverage</w:t>
            </w:r>
          </w:p>
        </w:tc>
        <w:tc>
          <w:tcPr>
            <w:tcW w:type="dxa" w:w="2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5%</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100% (cryptographic)</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Pipeline reliability</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12%</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93% (+683pp)</w:t>
            </w:r>
          </w:p>
        </w:tc>
      </w:tr>
    </w:tbl>
    <w:p>
      <w:pPr>
        <w:spacing w:after="60" w:before="60"/>
      </w:pPr>
      <w:r>
        <w:t xml:space="preserve"/>
      </w:r>
    </w:p>
    <w:p>
      <w:pPr>
        <w:spacing w:after="120" w:before="80" w:line="276"/>
      </w:pPr>
      <w:r>
        <w:rPr>
          <w:rFonts w:ascii="Calibri" w:cs="Calibri" w:eastAsia="Calibri" w:hAnsi="Calibri"/>
          <w:b w:val="false"/>
          <w:bCs w:val="false"/>
          <w:i/>
          <w:iCs/>
          <w:color w:val="6B7280"/>
          <w:sz w:val="22"/>
          <w:szCs w:val="22"/>
        </w:rPr>
        <w:t xml:space="preserve">Full benchmark methodology and source code available at: sparkprotocol.io/benchmark</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6. Specific Requests to the Commission</w:t>
      </w:r>
    </w:p>
    <w:p>
      <w:pPr>
        <w:spacing w:after="120" w:before="80" w:line="276"/>
      </w:pPr>
      <w:r>
        <w:rPr>
          <w:rFonts w:ascii="Calibri" w:cs="Calibri" w:eastAsia="Calibri" w:hAnsi="Calibri"/>
          <w:b w:val="false"/>
          <w:bCs w:val="false"/>
          <w:i w:val="false"/>
          <w:iCs w:val="false"/>
          <w:color w:val="111827"/>
          <w:sz w:val="22"/>
          <w:szCs w:val="22"/>
        </w:rPr>
        <w:t xml:space="preserve">This position paper makes the following specific requests within the GPAI Code of Practice consultation:</w:t>
      </w:r>
    </w:p>
    <w:p>
      <w:pPr>
        <w:pStyle w:val="Heading3"/>
        <w:spacing w:after="80" w:before="200"/>
      </w:pPr>
      <w:r>
        <w:rPr>
          <w:rFonts w:ascii="Calibri" w:cs="Calibri" w:eastAsia="Calibri" w:hAnsi="Calibri"/>
          <w:b/>
          <w:bCs/>
          <w:color w:val="2563EB"/>
          <w:sz w:val="22"/>
          <w:szCs w:val="22"/>
        </w:rPr>
        <w:t xml:space="preserve">6.1 Recognition as Reference Standard</w:t>
      </w:r>
    </w:p>
    <w:p>
      <w:pPr>
        <w:spacing w:after="120" w:before="80" w:line="276"/>
      </w:pPr>
      <w:r>
        <w:rPr>
          <w:rFonts w:ascii="Calibri" w:cs="Calibri" w:eastAsia="Calibri" w:hAnsi="Calibri"/>
          <w:b w:val="false"/>
          <w:bCs w:val="false"/>
          <w:i w:val="false"/>
          <w:iCs w:val="false"/>
          <w:color w:val="111827"/>
          <w:sz w:val="22"/>
          <w:szCs w:val="22"/>
        </w:rPr>
        <w:t xml:space="preserve">We request that the GPAI Code of Practice explicitly recognise SparkLayer (or a functionally equivalent open standard) as the reference technical implementation for training data traceability obligations under Article 53(1)(d).</w:t>
      </w:r>
    </w:p>
    <w:p>
      <w:pPr>
        <w:spacing w:after="120" w:before="80" w:line="276"/>
      </w:pPr>
      <w:r>
        <w:rPr>
          <w:rFonts w:ascii="Calibri" w:cs="Calibri" w:eastAsia="Calibri" w:hAnsi="Calibri"/>
          <w:b w:val="false"/>
          <w:bCs w:val="false"/>
          <w:i w:val="false"/>
          <w:iCs w:val="false"/>
          <w:color w:val="111827"/>
          <w:sz w:val="22"/>
          <w:szCs w:val="22"/>
        </w:rPr>
        <w:t xml:space="preserve">Specifically, we propose that the Code of Practice include the following provision:</w:t>
      </w:r>
    </w:p>
    <w:p>
      <w:pPr>
        <w:pBdr>
          <w:left w:val="single" w:color="2563EB" w:sz="12" w:space="10"/>
        </w:pBdr>
        <w:spacing w:after="160" w:before="160"/>
        <w:ind w:left="720" w:right="720"/>
      </w:pPr>
      <w:r>
        <w:rPr>
          <w:rFonts w:ascii="Calibri" w:cs="Calibri" w:eastAsia="Calibri" w:hAnsi="Calibri"/>
          <w:i/>
          <w:iCs/>
          <w:color w:val="111827"/>
          <w:sz w:val="21"/>
          <w:szCs w:val="21"/>
        </w:rPr>
        <w:t xml:space="preserve">"GPAI model providers shall implement a machine-readable provenance metadata standard for training data sources. Such standard shall provide, at minimum: cryptographic content integrity verification, machine-readable usage rights per content unit, publisher identity attribution, and an auditable access log. SparkLayer Protocol v2.0 or functionally equivalent open standards satisfy this requirement."</w:t>
      </w:r>
    </w:p>
    <w:p>
      <w:pPr>
        <w:pStyle w:val="Heading3"/>
        <w:spacing w:after="80" w:before="200"/>
      </w:pPr>
      <w:r>
        <w:rPr>
          <w:rFonts w:ascii="Calibri" w:cs="Calibri" w:eastAsia="Calibri" w:hAnsi="Calibri"/>
          <w:b/>
          <w:bCs/>
          <w:color w:val="2563EB"/>
          <w:sz w:val="22"/>
          <w:szCs w:val="22"/>
        </w:rPr>
        <w:t xml:space="preserve">6.2 Pilot Programme Funding</w:t>
      </w:r>
    </w:p>
    <w:p>
      <w:pPr>
        <w:spacing w:after="120" w:before="80" w:line="276"/>
      </w:pPr>
      <w:r>
        <w:rPr>
          <w:rFonts w:ascii="Calibri" w:cs="Calibri" w:eastAsia="Calibri" w:hAnsi="Calibri"/>
          <w:b w:val="false"/>
          <w:bCs w:val="false"/>
          <w:i w:val="false"/>
          <w:iCs w:val="false"/>
          <w:color w:val="111827"/>
          <w:sz w:val="22"/>
          <w:szCs w:val="22"/>
        </w:rPr>
        <w:t xml:space="preserve">We request support for a pilot deployment involving:</w:t>
      </w:r>
    </w:p>
    <w:p>
      <w:pPr>
        <w:pStyle w:val="ListParagraph"/>
        <w:numPr>
          <w:ilvl w:val="0"/>
          <w:numId w:val="2"/>
        </w:numPr>
        <w:spacing w:after="60" w:before="60"/>
      </w:pPr>
      <w:r>
        <w:rPr>
          <w:rFonts w:ascii="Calibri" w:cs="Calibri" w:eastAsia="Calibri" w:hAnsi="Calibri"/>
          <w:color w:val="111827"/>
          <w:sz w:val="22"/>
          <w:szCs w:val="22"/>
        </w:rPr>
        <w:t xml:space="preserve">Three major European publishers (e.g. Le Monde, Der Spiegel, Corriere della Sera)</w:t>
      </w:r>
    </w:p>
    <w:p>
      <w:pPr>
        <w:pStyle w:val="ListParagraph"/>
        <w:numPr>
          <w:ilvl w:val="0"/>
          <w:numId w:val="2"/>
        </w:numPr>
        <w:spacing w:after="60" w:before="60"/>
      </w:pPr>
      <w:r>
        <w:rPr>
          <w:rFonts w:ascii="Calibri" w:cs="Calibri" w:eastAsia="Calibri" w:hAnsi="Calibri"/>
          <w:color w:val="111827"/>
          <w:sz w:val="22"/>
          <w:szCs w:val="22"/>
        </w:rPr>
        <w:t xml:space="preserve">One European AI lab (Mistral AI or equivalent)</w:t>
      </w:r>
    </w:p>
    <w:p>
      <w:pPr>
        <w:pStyle w:val="ListParagraph"/>
        <w:numPr>
          <w:ilvl w:val="0"/>
          <w:numId w:val="2"/>
        </w:numPr>
        <w:spacing w:after="60" w:before="60"/>
      </w:pPr>
      <w:r>
        <w:rPr>
          <w:rFonts w:ascii="Calibri" w:cs="Calibri" w:eastAsia="Calibri" w:hAnsi="Calibri"/>
          <w:color w:val="111827"/>
          <w:sz w:val="22"/>
          <w:szCs w:val="22"/>
        </w:rPr>
        <w:t xml:space="preserve">Six-month deployment measuring compliance outcomes and economic impact</w:t>
      </w:r>
    </w:p>
    <w:p>
      <w:pPr>
        <w:pStyle w:val="ListParagraph"/>
        <w:numPr>
          <w:ilvl w:val="0"/>
          <w:numId w:val="2"/>
        </w:numPr>
        <w:spacing w:after="60" w:before="60"/>
      </w:pPr>
      <w:r>
        <w:rPr>
          <w:rFonts w:ascii="Calibri" w:cs="Calibri" w:eastAsia="Calibri" w:hAnsi="Calibri"/>
          <w:color w:val="111827"/>
          <w:sz w:val="22"/>
          <w:szCs w:val="22"/>
        </w:rPr>
        <w:t xml:space="preserve">Open publication of results to inform final Code of Practice language</w:t>
      </w:r>
    </w:p>
    <w:p>
      <w:pPr>
        <w:spacing w:after="120" w:before="80" w:line="276"/>
      </w:pPr>
      <w:r>
        <w:rPr>
          <w:rFonts w:ascii="Calibri" w:cs="Calibri" w:eastAsia="Calibri" w:hAnsi="Calibri"/>
          <w:b w:val="false"/>
          <w:bCs w:val="false"/>
          <w:i w:val="false"/>
          <w:iCs w:val="false"/>
          <w:color w:val="111827"/>
          <w:sz w:val="22"/>
          <w:szCs w:val="22"/>
        </w:rPr>
        <w:t xml:space="preserve">Estimated budget: €200,000–400,000 through existing Horizon Europe or Digital Europe instruments.</w:t>
      </w:r>
    </w:p>
    <w:p>
      <w:pPr>
        <w:pStyle w:val="Heading3"/>
        <w:spacing w:after="80" w:before="200"/>
      </w:pPr>
      <w:r>
        <w:rPr>
          <w:rFonts w:ascii="Calibri" w:cs="Calibri" w:eastAsia="Calibri" w:hAnsi="Calibri"/>
          <w:b/>
          <w:bCs/>
          <w:color w:val="2563EB"/>
          <w:sz w:val="22"/>
          <w:szCs w:val="22"/>
        </w:rPr>
        <w:t xml:space="preserve">6.3 W3C Standardisation Support</w:t>
      </w:r>
    </w:p>
    <w:p>
      <w:pPr>
        <w:spacing w:after="120" w:before="80" w:line="276"/>
      </w:pPr>
      <w:r>
        <w:rPr>
          <w:rFonts w:ascii="Calibri" w:cs="Calibri" w:eastAsia="Calibri" w:hAnsi="Calibri"/>
          <w:b w:val="false"/>
          <w:bCs w:val="false"/>
          <w:i w:val="false"/>
          <w:iCs w:val="false"/>
          <w:color w:val="111827"/>
          <w:sz w:val="22"/>
          <w:szCs w:val="22"/>
        </w:rPr>
        <w:t xml:space="preserve">We request a letter of support from DG CONNECT to the W3C Community Group process, signalling regulatory interest in the standardisation of agent-native web protocols. This would accelerate W3C adoption and align European regulatory requirements with global web standards.</w:t>
      </w:r>
    </w:p>
    <w:p>
      <w:pPr>
        <w:pStyle w:val="Heading3"/>
        <w:spacing w:after="80" w:before="200"/>
      </w:pPr>
      <w:r>
        <w:rPr>
          <w:rFonts w:ascii="Calibri" w:cs="Calibri" w:eastAsia="Calibri" w:hAnsi="Calibri"/>
          <w:b/>
          <w:bCs/>
          <w:color w:val="2563EB"/>
          <w:sz w:val="22"/>
          <w:szCs w:val="22"/>
        </w:rPr>
        <w:t xml:space="preserve">6.4 TDM Reservation Integration</w:t>
      </w:r>
    </w:p>
    <w:p>
      <w:pPr>
        <w:spacing w:after="120" w:before="80" w:line="276"/>
      </w:pPr>
      <w:r>
        <w:rPr>
          <w:rFonts w:ascii="Calibri" w:cs="Calibri" w:eastAsia="Calibri" w:hAnsi="Calibri"/>
          <w:b w:val="false"/>
          <w:bCs w:val="false"/>
          <w:i w:val="false"/>
          <w:iCs w:val="false"/>
          <w:color w:val="111827"/>
          <w:sz w:val="22"/>
          <w:szCs w:val="22"/>
        </w:rPr>
        <w:t xml:space="preserve">We request guidance on whether SparkLayer's ia-usage field, when deployed by a publisher, constitutes a valid machine-readable TDM reservation under Article 4 of the DSM Directive. Regulatory clarity on this point would significantly accelerate publisher adoption.</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7. Implementation Readiness</w:t>
      </w:r>
    </w:p>
    <w:p>
      <w:pPr>
        <w:spacing w:after="120" w:before="80" w:line="276"/>
      </w:pPr>
      <w:r>
        <w:rPr>
          <w:rFonts w:ascii="Calibri" w:cs="Calibri" w:eastAsia="Calibri" w:hAnsi="Calibri"/>
          <w:b w:val="false"/>
          <w:bCs w:val="false"/>
          <w:i w:val="false"/>
          <w:iCs w:val="false"/>
          <w:color w:val="111827"/>
          <w:sz w:val="22"/>
          <w:szCs w:val="22"/>
        </w:rPr>
        <w:t xml:space="preserve">SparkLayer is not a theoretical proposal. The following components are available as open-source software:</w:t>
      </w:r>
    </w:p>
    <w:p>
      <w:pPr>
        <w:pStyle w:val="ListParagraph"/>
        <w:numPr>
          <w:ilvl w:val="0"/>
          <w:numId w:val="2"/>
        </w:numPr>
        <w:spacing w:after="60" w:before="60"/>
      </w:pPr>
      <w:r>
        <w:rPr>
          <w:rFonts w:ascii="Calibri" w:cs="Calibri" w:eastAsia="Calibri" w:hAnsi="Calibri"/>
          <w:color w:val="111827"/>
          <w:sz w:val="22"/>
          <w:szCs w:val="22"/>
        </w:rPr>
        <w:t xml:space="preserve">Sparkifier v0.1 — converts HTML/Markdown content to .spk/.spki/.spsk files (Python, MIT licence)</w:t>
      </w:r>
    </w:p>
    <w:p>
      <w:pPr>
        <w:pStyle w:val="ListParagraph"/>
        <w:numPr>
          <w:ilvl w:val="0"/>
          <w:numId w:val="2"/>
        </w:numPr>
        <w:spacing w:after="60" w:before="60"/>
      </w:pPr>
      <w:r>
        <w:rPr>
          <w:rFonts w:ascii="Calibri" w:cs="Calibri" w:eastAsia="Calibri" w:hAnsi="Calibri"/>
          <w:color w:val="111827"/>
          <w:sz w:val="22"/>
          <w:szCs w:val="22"/>
        </w:rPr>
        <w:t xml:space="preserve">SparkLayer Agent Skill v0.1 — client library for AI agent frameworks (Python, MIT licence)</w:t>
      </w:r>
    </w:p>
    <w:p>
      <w:pPr>
        <w:pStyle w:val="ListParagraph"/>
        <w:numPr>
          <w:ilvl w:val="0"/>
          <w:numId w:val="2"/>
        </w:numPr>
        <w:spacing w:after="60" w:before="60"/>
      </w:pPr>
      <w:r>
        <w:rPr>
          <w:rFonts w:ascii="Calibri" w:cs="Calibri" w:eastAsia="Calibri" w:hAnsi="Calibri"/>
          <w:color w:val="111827"/>
          <w:sz w:val="22"/>
          <w:szCs w:val="22"/>
        </w:rPr>
        <w:t xml:space="preserve">JSON Schemas — complete validation schemas for all three file formats</w:t>
      </w:r>
    </w:p>
    <w:p>
      <w:pPr>
        <w:pStyle w:val="ListParagraph"/>
        <w:numPr>
          <w:ilvl w:val="0"/>
          <w:numId w:val="2"/>
        </w:numPr>
        <w:spacing w:after="60" w:before="60"/>
      </w:pPr>
      <w:r>
        <w:rPr>
          <w:rFonts w:ascii="Calibri" w:cs="Calibri" w:eastAsia="Calibri" w:hAnsi="Calibri"/>
          <w:color w:val="111827"/>
          <w:sz w:val="22"/>
          <w:szCs w:val="22"/>
        </w:rPr>
        <w:t xml:space="preserve">Benchmark tooling — reproducible benchmark comparing HTML scraping vs SparkLayer</w:t>
      </w:r>
    </w:p>
    <w:p>
      <w:pPr>
        <w:spacing w:after="120" w:before="80" w:line="276"/>
      </w:pPr>
      <w:r>
        <w:rPr>
          <w:rFonts w:ascii="Calibri" w:cs="Calibri" w:eastAsia="Calibri" w:hAnsi="Calibri"/>
          <w:b w:val="false"/>
          <w:bCs w:val="false"/>
          <w:i w:val="false"/>
          <w:iCs w:val="false"/>
          <w:color w:val="111827"/>
          <w:sz w:val="22"/>
          <w:szCs w:val="22"/>
        </w:rPr>
        <w:t xml:space="preserve">All components are available at: sparkprotocol.io (planned) / github.com/sparklayer (planned)</w:t>
      </w:r>
    </w:p>
    <w:p>
      <w:pPr>
        <w:spacing w:after="120" w:before="80" w:line="276"/>
      </w:pPr>
      <w:r>
        <w:rPr>
          <w:rFonts w:ascii="Calibri" w:cs="Calibri" w:eastAsia="Calibri" w:hAnsi="Calibri"/>
          <w:b w:val="false"/>
          <w:bCs w:val="false"/>
          <w:i w:val="false"/>
          <w:iCs w:val="false"/>
          <w:color w:val="111827"/>
          <w:sz w:val="22"/>
          <w:szCs w:val="22"/>
        </w:rPr>
        <w:t xml:space="preserve">A WordPress plugin enabling one-click SparkLayer deployment for publishers is in development (estimated Q3 2026).</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8. Conclusion</w:t>
      </w:r>
    </w:p>
    <w:p>
      <w:pPr>
        <w:spacing w:after="120" w:before="80" w:line="276"/>
      </w:pPr>
      <w:r>
        <w:rPr>
          <w:rFonts w:ascii="Calibri" w:cs="Calibri" w:eastAsia="Calibri" w:hAnsi="Calibri"/>
          <w:b w:val="false"/>
          <w:bCs w:val="false"/>
          <w:i w:val="false"/>
          <w:iCs w:val="false"/>
          <w:color w:val="111827"/>
          <w:sz w:val="22"/>
          <w:szCs w:val="22"/>
        </w:rPr>
        <w:t xml:space="preserve">The EU AI Act creates a historic opportunity to establish fair and accountable practices for AI training data. The technical infrastructure to implement these obligations exists — SparkLayer provides it.</w:t>
      </w:r>
    </w:p>
    <w:p>
      <w:pPr>
        <w:spacing w:after="120" w:before="80" w:line="276"/>
      </w:pPr>
      <w:r>
        <w:rPr>
          <w:rFonts w:ascii="Calibri" w:cs="Calibri" w:eastAsia="Calibri" w:hAnsi="Calibri"/>
          <w:b w:val="false"/>
          <w:bCs w:val="false"/>
          <w:i w:val="false"/>
          <w:iCs w:val="false"/>
          <w:color w:val="111827"/>
          <w:sz w:val="22"/>
          <w:szCs w:val="22"/>
        </w:rPr>
        <w:t xml:space="preserve">The window for standardisation is narrow. Delegated acts and implementing measures for the GPAI Code of Practice are being drafted now. If a technical standard is not referenced in these instruments, implementation will fragment across dozens of proprietary solutions, making regulatory compliance harder to verify and enforcement effectively impossible.</w:t>
      </w:r>
    </w:p>
    <w:p>
      <w:pPr>
        <w:spacing w:after="160" w:before="160"/>
        <w:ind w:left="720" w:right="720"/>
      </w:pPr>
      <w:r>
        <w:rPr>
          <w:rFonts w:ascii="Calibri" w:cs="Calibri" w:eastAsia="Calibri" w:hAnsi="Calibri"/>
          <w:b/>
          <w:bCs/>
          <w:i/>
          <w:iCs/>
          <w:color w:val="1B3A6B"/>
          <w:sz w:val="22"/>
          <w:szCs w:val="22"/>
        </w:rPr>
        <w:t xml:space="preserve">SparkLayer requests recognition as the reference standard for AI training data traceability — a single open protocol that makes the AI Act's provenance obligations technically implementable at web scale.</w:t>
      </w:r>
    </w:p>
    <w:p>
      <w:pPr>
        <w:spacing w:after="120" w:before="80" w:line="276"/>
      </w:pPr>
      <w:r>
        <w:rPr>
          <w:rFonts w:ascii="Calibri" w:cs="Calibri" w:eastAsia="Calibri" w:hAnsi="Calibri"/>
          <w:b w:val="false"/>
          <w:bCs w:val="false"/>
          <w:i w:val="false"/>
          <w:iCs w:val="false"/>
          <w:color w:val="111827"/>
          <w:sz w:val="22"/>
          <w:szCs w:val="22"/>
        </w:rPr>
        <w:t xml:space="preserve">The cost of establishing this standard is minimal. The cost of not establishing it — continued unattributed extraction of European creative and intellectual output by AI systems — is measured in billions of euros annually and in the systematic erosion of the European knowledge economy.</w:t>
      </w:r>
    </w:p>
    <w:p>
      <w:pPr>
        <w:spacing w:after="120" w:before="120"/>
      </w:pPr>
      <w:r>
        <w:t xml:space="preserve"/>
      </w:r>
    </w:p>
    <w:p>
      <w:pPr>
        <w:pBdr>
          <w:top w:val="single" w:color="2563EB" w:sz="6" w:space="1"/>
        </w:pBdr>
        <w:spacing w:after="160" w:before="240"/>
      </w:pPr>
      <w:r>
        <w:rPr>
          <w:rFonts w:ascii="Calibri" w:cs="Calibri" w:eastAsia="Calibri" w:hAnsi="Calibri"/>
          <w:b/>
          <w:bCs/>
          <w:color w:val="1B3A6B"/>
          <w:sz w:val="22"/>
          <w:szCs w:val="22"/>
        </w:rPr>
        <w:t xml:space="preserve">Contact Information</w:t>
      </w:r>
    </w:p>
    <w:p>
      <w:pPr>
        <w:spacing w:after="120" w:before="80" w:line="276"/>
      </w:pPr>
      <w:r>
        <w:rPr>
          <w:rFonts w:ascii="Calibri" w:cs="Calibri" w:eastAsia="Calibri" w:hAnsi="Calibri"/>
          <w:b w:val="false"/>
          <w:bCs w:val="false"/>
          <w:i w:val="false"/>
          <w:iCs w:val="false"/>
          <w:color w:val="111827"/>
          <w:sz w:val="22"/>
          <w:szCs w:val="22"/>
        </w:rPr>
        <w:t xml:space="preserve">Romuald Martin — Independent Researcher</w:t>
      </w:r>
    </w:p>
    <w:p>
      <w:pPr>
        <w:spacing w:after="120" w:before="80" w:line="276"/>
      </w:pPr>
      <w:r>
        <w:rPr>
          <w:rFonts w:ascii="Calibri" w:cs="Calibri" w:eastAsia="Calibri" w:hAnsi="Calibri"/>
          <w:b w:val="false"/>
          <w:bCs w:val="false"/>
          <w:i w:val="false"/>
          <w:iCs w:val="false"/>
          <w:color w:val="111827"/>
          <w:sz w:val="22"/>
          <w:szCs w:val="22"/>
        </w:rPr>
        <w:t xml:space="preserve">Cabin Skolar, Bourgogne, France</w:t>
      </w:r>
    </w:p>
    <w:p>
      <w:pPr>
        <w:spacing w:after="120" w:before="80" w:line="276"/>
      </w:pPr>
      <w:r>
        <w:rPr>
          <w:rFonts w:ascii="Calibri" w:cs="Calibri" w:eastAsia="Calibri" w:hAnsi="Calibri"/>
          <w:b w:val="false"/>
          <w:bCs w:val="false"/>
          <w:i w:val="false"/>
          <w:iCs w:val="false"/>
          <w:color w:val="111827"/>
          <w:sz w:val="22"/>
          <w:szCs w:val="22"/>
        </w:rPr>
        <w:t xml:space="preserve">romuald.martin@gmail.com</w:t>
      </w:r>
    </w:p>
    <w:p>
      <w:pPr>
        <w:spacing w:after="120" w:before="80" w:line="276"/>
      </w:pPr>
      <w:r>
        <w:rPr>
          <w:rFonts w:ascii="Calibri" w:cs="Calibri" w:eastAsia="Calibri" w:hAnsi="Calibri"/>
          <w:b w:val="false"/>
          <w:bCs w:val="false"/>
          <w:i w:val="false"/>
          <w:iCs w:val="false"/>
          <w:color w:val="111827"/>
          <w:sz w:val="22"/>
          <w:szCs w:val="22"/>
        </w:rPr>
        <w:t xml:space="preserve">SparkLayer Protocol: sparkprotocol.io (forthcoming)</w:t>
      </w:r>
    </w:p>
    <w:p>
      <w:pPr>
        <w:spacing w:after="120" w:before="80" w:line="276"/>
      </w:pPr>
      <w:r>
        <w:rPr>
          <w:rFonts w:ascii="Calibri" w:cs="Calibri" w:eastAsia="Calibri" w:hAnsi="Calibri"/>
          <w:b w:val="false"/>
          <w:bCs w:val="false"/>
          <w:i w:val="false"/>
          <w:iCs w:val="false"/>
          <w:color w:val="111827"/>
          <w:sz w:val="22"/>
          <w:szCs w:val="22"/>
        </w:rPr>
        <w:t xml:space="preserve">GitHub: github.com/sparklayer-protocol (forthcoming)</w:t>
      </w:r>
    </w:p>
    <w:p>
      <w:pPr>
        <w:spacing w:after="60" w:before="60"/>
      </w:pPr>
      <w:r>
        <w:t xml:space="preserve"/>
      </w:r>
    </w:p>
    <w:p>
      <w:pPr>
        <w:spacing w:after="120" w:before="80" w:line="276"/>
      </w:pPr>
      <w:r>
        <w:rPr>
          <w:rFonts w:ascii="Calibri" w:cs="Calibri" w:eastAsia="Calibri" w:hAnsi="Calibri"/>
          <w:b w:val="false"/>
          <w:bCs w:val="false"/>
          <w:i w:val="false"/>
          <w:iCs w:val="false"/>
          <w:color w:val="111827"/>
          <w:sz w:val="22"/>
          <w:szCs w:val="22"/>
        </w:rPr>
        <w:t xml:space="preserve">This position paper is submitted as a public consultation response and may be published by the Commission. The author declares no financial interest in the adoption of SparkLayer beyond the general interest in establishing fair standards for the web.</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spacing w:before="200"/>
      <w:jc w:val="right"/>
    </w:pPr>
    <w:r>
      <w:rPr>
        <w:rFonts w:ascii="Calibri" w:cs="Calibri" w:eastAsia="Calibri" w:hAnsi="Calibri"/>
        <w:color w:val="6B7280"/>
        <w:sz w:val="18"/>
        <w:szCs w:val="18"/>
      </w:rPr>
      <w:t xml:space="preserve">sparkprotocol.io  •  romuald.martin@gmail.com  •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200"/>
    </w:pPr>
    <w:r>
      <w:rPr>
        <w:rFonts w:ascii="Calibri" w:cs="Calibri" w:eastAsia="Calibri" w:hAnsi="Calibri"/>
        <w:color w:val="6B7280"/>
        <w:sz w:val="18"/>
        <w:szCs w:val="18"/>
      </w:rPr>
      <w:t xml:space="preserve">SparkLayer Protocol — Position Paper</w:t>
    </w:r>
    <w:r>
      <w:rPr>
        <w:rFonts w:ascii="Calibri" w:cs="Calibri" w:eastAsia="Calibri" w:hAnsi="Calibri"/>
        <w:color w:val="6B7280"/>
        <w:sz w:val="18"/>
        <w:szCs w:val="18"/>
      </w:rPr>
      <w:t xml:space="preserve">  |  EU AI Act GPAI Code of Practice Consultation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B3A6B"/>
      <w:sz w:val="28"/>
      <w:szCs w:val="28"/>
    </w:rPr>
  </w:style>
  <w:style w:type="paragraph" w:styleId="Heading2">
    <w:name w:val="Heading 2"/>
    <w:basedOn w:val="Normal"/>
    <w:next w:val="Normal"/>
    <w:qFormat/>
    <w:pPr>
      <w:spacing w:after="120" w:before="280"/>
      <w:outlineLvl w:val="1"/>
    </w:pPr>
    <w:rPr>
      <w:rFonts w:ascii="Georgia" w:cs="Georgia" w:eastAsia="Georgia" w:hAnsi="Georgia"/>
      <w:b/>
      <w:bCs/>
      <w:color w:val="1B3A6B"/>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2026-05-03T12:42:32.227Z</dcterms:created>
  <dcterms:modified xsi:type="dcterms:W3CDTF">2026-05-03T12:42:32.227Z</dcterms:modified>
</cp:coreProperties>
</file>

<file path=docProps/custom.xml><?xml version="1.0" encoding="utf-8"?>
<Properties xmlns="http://schemas.openxmlformats.org/officeDocument/2006/custom-properties" xmlns:vt="http://schemas.openxmlformats.org/officeDocument/2006/docPropsVTypes"/>
</file>