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76"/>
        <w:jc w:val="left"/>
      </w:pPr>
      <w:r>
        <w:rPr>
          <w:rFonts w:ascii="Calibri" w:cs="Calibri" w:eastAsia="Calibri" w:hAnsi="Calibri"/>
          <w:b/>
          <w:bCs/>
          <w:i w:val="false"/>
          <w:iCs w:val="false"/>
          <w:color w:val="111827"/>
          <w:sz w:val="22"/>
          <w:szCs w:val="22"/>
        </w:rPr>
        <w:t xml:space="preserve">Romuald Martin</w:t>
      </w:r>
    </w:p>
    <w:p>
      <w:pPr>
        <w:spacing w:after="160" w:before="0" w:line="276"/>
        <w:jc w:val="left"/>
      </w:pPr>
      <w:r>
        <w:rPr>
          <w:rFonts w:ascii="Calibri" w:cs="Calibri" w:eastAsia="Calibri" w:hAnsi="Calibri"/>
          <w:b w:val="false"/>
          <w:bCs w:val="false"/>
          <w:i w:val="false"/>
          <w:iCs w:val="false"/>
          <w:color w:val="111827"/>
          <w:sz w:val="22"/>
          <w:szCs w:val="22"/>
        </w:rPr>
        <w:t xml:space="preserve">Chercheur indépendant — Cabin Skolar</w:t>
      </w:r>
    </w:p>
    <w:p>
      <w:pPr>
        <w:spacing w:after="160" w:before="0" w:line="276"/>
        <w:jc w:val="left"/>
      </w:pPr>
      <w:r>
        <w:rPr>
          <w:rFonts w:ascii="Calibri" w:cs="Calibri" w:eastAsia="Calibri" w:hAnsi="Calibri"/>
          <w:b w:val="false"/>
          <w:bCs w:val="false"/>
          <w:i w:val="false"/>
          <w:iCs w:val="false"/>
          <w:color w:val="111827"/>
          <w:sz w:val="22"/>
          <w:szCs w:val="22"/>
        </w:rPr>
        <w:t xml:space="preserve">Bourgogne, France</w:t>
      </w:r>
    </w:p>
    <w:p>
      <w:pPr>
        <w:spacing w:after="160" w:before="0" w:line="276"/>
        <w:jc w:val="left"/>
      </w:pPr>
      <w:r>
        <w:rPr>
          <w:rFonts w:ascii="Calibri" w:cs="Calibri" w:eastAsia="Calibri" w:hAnsi="Calibri"/>
          <w:b w:val="false"/>
          <w:bCs w:val="false"/>
          <w:i w:val="false"/>
          <w:iCs w:val="false"/>
          <w:color w:val="111827"/>
          <w:sz w:val="22"/>
          <w:szCs w:val="22"/>
        </w:rPr>
        <w:t xml:space="preserve">romuald.martin@gmail.com</w:t>
      </w:r>
    </w:p>
    <w:p>
      <w:pPr>
        <w:spacing w:after="160" w:before="160"/>
      </w:pPr>
      <w:r>
        <w:t xml:space="preserve"/>
      </w:r>
    </w:p>
    <w:p>
      <w:pPr>
        <w:spacing w:after="160" w:before="0" w:line="276"/>
        <w:jc w:val="left"/>
      </w:pPr>
      <w:r>
        <w:rPr>
          <w:rFonts w:ascii="Calibri" w:cs="Calibri" w:eastAsia="Calibri" w:hAnsi="Calibri"/>
          <w:b/>
          <w:bCs/>
          <w:i w:val="false"/>
          <w:iCs w:val="false"/>
          <w:color w:val="1B3A6B"/>
          <w:sz w:val="22"/>
          <w:szCs w:val="22"/>
        </w:rPr>
        <w:t xml:space="preserve">À l'attention de :</w:t>
      </w:r>
    </w:p>
    <w:p>
      <w:pPr>
        <w:spacing w:after="160" w:before="0" w:line="276"/>
        <w:jc w:val="left"/>
      </w:pPr>
      <w:r>
        <w:rPr>
          <w:rFonts w:ascii="Calibri" w:cs="Calibri" w:eastAsia="Calibri" w:hAnsi="Calibri"/>
          <w:b/>
          <w:bCs/>
          <w:i w:val="false"/>
          <w:iCs w:val="false"/>
          <w:color w:val="111827"/>
          <w:sz w:val="22"/>
          <w:szCs w:val="22"/>
        </w:rPr>
        <w:t xml:space="preserve">Direction Générale des Réseaux de Communication</w:t>
      </w:r>
    </w:p>
    <w:p>
      <w:pPr>
        <w:spacing w:after="160" w:before="0" w:line="276"/>
        <w:jc w:val="left"/>
      </w:pPr>
      <w:r>
        <w:rPr>
          <w:rFonts w:ascii="Calibri" w:cs="Calibri" w:eastAsia="Calibri" w:hAnsi="Calibri"/>
          <w:b w:val="false"/>
          <w:bCs w:val="false"/>
          <w:i w:val="false"/>
          <w:iCs w:val="false"/>
          <w:color w:val="111827"/>
          <w:sz w:val="22"/>
          <w:szCs w:val="22"/>
        </w:rPr>
        <w:t xml:space="preserve">DG CONNECT — European Commission</w:t>
      </w:r>
    </w:p>
    <w:p>
      <w:pPr>
        <w:spacing w:after="160" w:before="0" w:line="276"/>
        <w:jc w:val="left"/>
      </w:pPr>
      <w:r>
        <w:rPr>
          <w:rFonts w:ascii="Calibri" w:cs="Calibri" w:eastAsia="Calibri" w:hAnsi="Calibri"/>
          <w:b w:val="false"/>
          <w:bCs w:val="false"/>
          <w:i w:val="false"/>
          <w:iCs w:val="false"/>
          <w:color w:val="111827"/>
          <w:sz w:val="22"/>
          <w:szCs w:val="22"/>
        </w:rPr>
        <w:t xml:space="preserve">Unité en charge des standards du web et de l'IA</w:t>
      </w:r>
    </w:p>
    <w:p>
      <w:pPr>
        <w:spacing w:after="160" w:before="0" w:line="276"/>
        <w:jc w:val="left"/>
      </w:pPr>
      <w:r>
        <w:rPr>
          <w:rFonts w:ascii="Calibri" w:cs="Calibri" w:eastAsia="Calibri" w:hAnsi="Calibri"/>
          <w:b w:val="false"/>
          <w:bCs w:val="false"/>
          <w:i w:val="false"/>
          <w:iCs w:val="false"/>
          <w:color w:val="111827"/>
          <w:sz w:val="22"/>
          <w:szCs w:val="22"/>
        </w:rPr>
        <w:t xml:space="preserve">cnect-ai-office@ec.europa.eu</w:t>
      </w:r>
    </w:p>
    <w:p>
      <w:pPr>
        <w:spacing w:after="160" w:before="160"/>
      </w:pPr>
      <w:r>
        <w:t xml:space="preserve"/>
      </w:r>
    </w:p>
    <w:p>
      <w:pPr>
        <w:spacing w:after="160" w:before="0" w:line="276"/>
        <w:jc w:val="left"/>
      </w:pPr>
      <w:r>
        <w:rPr>
          <w:rFonts w:ascii="Calibri" w:cs="Calibri" w:eastAsia="Calibri" w:hAnsi="Calibri"/>
          <w:b w:val="false"/>
          <w:bCs w:val="false"/>
          <w:i w:val="false"/>
          <w:iCs w:val="false"/>
          <w:color w:val="6B7280"/>
          <w:sz w:val="22"/>
          <w:szCs w:val="22"/>
        </w:rPr>
        <w:t xml:space="preserve">Bourgogne, le 3 mai 2026</w:t>
      </w:r>
    </w:p>
    <w:p>
      <w:pPr>
        <w:spacing w:after="80" w:before="80"/>
      </w:pPr>
      <w:r>
        <w:t xml:space="preserve"/>
      </w:r>
    </w:p>
    <w:p>
      <w:pPr>
        <w:pBdr>
          <w:bottom w:val="single" w:color="1B3A6B" w:sz="6" w:space="4"/>
        </w:pBdr>
      </w:pPr>
      <w:r>
        <w:t xml:space="preserve"/>
      </w:r>
    </w:p>
    <w:p>
      <w:pPr>
        <w:spacing w:after="80" w:before="80"/>
      </w:pPr>
      <w:r>
        <w:t xml:space="preserve"/>
      </w:r>
    </w:p>
    <w:p>
      <w:pPr>
        <w:spacing w:after="200" w:before="200"/>
      </w:pPr>
      <w:r>
        <w:rPr>
          <w:rFonts w:ascii="Calibri" w:cs="Calibri" w:eastAsia="Calibri" w:hAnsi="Calibri"/>
          <w:b/>
          <w:bCs/>
          <w:color w:val="1B3A6B"/>
          <w:sz w:val="22"/>
          <w:szCs w:val="22"/>
        </w:rPr>
        <w:t xml:space="preserve">Objet : </w:t>
      </w:r>
      <w:r>
        <w:rPr>
          <w:rFonts w:ascii="Calibri" w:cs="Calibri" w:eastAsia="Calibri" w:hAnsi="Calibri"/>
          <w:b/>
          <w:bCs/>
          <w:color w:val="111827"/>
          <w:sz w:val="22"/>
          <w:szCs w:val="22"/>
        </w:rPr>
        <w:t xml:space="preserve">Protocole SeamLayer — Proposition de standard web pour la consommation de contenu par les agents IA — Demande de soutien pour soumission W3C</w:t>
      </w:r>
    </w:p>
    <w:p>
      <w:pPr>
        <w:spacing w:after="80" w:before="80"/>
      </w:pPr>
      <w:r>
        <w:rPr>
          <w:rFonts w:ascii="Calibri" w:cs="Calibri" w:eastAsia="Calibri" w:hAnsi="Calibri"/>
          <w:b/>
          <w:bCs/>
          <w:color w:val="6B7280"/>
          <w:sz w:val="22"/>
          <w:szCs w:val="22"/>
        </w:rPr>
        <w:t xml:space="preserve">Réf. : </w:t>
      </w:r>
      <w:r>
        <w:rPr>
          <w:rFonts w:ascii="Calibri" w:cs="Calibri" w:eastAsia="Calibri" w:hAnsi="Calibri"/>
          <w:color w:val="6B7280"/>
          <w:sz w:val="22"/>
          <w:szCs w:val="22"/>
        </w:rPr>
        <w:t xml:space="preserve">AI Act (UE 2024/1689) · Directive DSM (UE 2019/790) · W3C Community Group Process</w:t>
      </w:r>
    </w:p>
    <w:p>
      <w:pPr>
        <w:spacing w:after="80" w:before="80"/>
      </w:pPr>
      <w:r>
        <w:t xml:space="preserve"/>
      </w:r>
    </w:p>
    <w:p>
      <w:pPr>
        <w:spacing w:after="160" w:before="80" w:line="316"/>
      </w:pPr>
      <w:r>
        <w:rPr>
          <w:rFonts w:ascii="Calibri" w:cs="Calibri" w:eastAsia="Calibri" w:hAnsi="Calibri"/>
          <w:color w:val="111827"/>
          <w:sz w:val="22"/>
          <w:szCs w:val="22"/>
        </w:rPr>
        <w:t xml:space="preserve">Madame, Monsieur,</w:t>
      </w:r>
    </w:p>
    <w:p>
      <w:pPr>
        <w:spacing w:after="80" w:before="80"/>
      </w:pPr>
      <w:r>
        <w:t xml:space="preserve"/>
      </w:r>
    </w:p>
    <w:p>
      <w:pPr>
        <w:spacing w:after="160" w:before="80" w:line="316"/>
      </w:pPr>
      <w:r>
        <w:rPr>
          <w:rFonts w:ascii="Calibri" w:cs="Calibri" w:eastAsia="Calibri" w:hAnsi="Calibri"/>
          <w:color w:val="111827"/>
          <w:sz w:val="22"/>
          <w:szCs w:val="22"/>
        </w:rPr>
        <w:t xml:space="preserve">Je me permets de vous soumettre une proposition de standard technique open source visant à structurer la relation entre les éditeurs de contenu web et les systèmes d'intelligence artificielle autonomes, dans le cadre de l'implémentation de l'AI Act et de la stratégie numérique européenne.</w:t>
      </w:r>
    </w:p>
    <w:p>
      <w:pPr>
        <w:spacing w:after="80" w:before="80"/>
      </w:pPr>
      <w:r>
        <w:t xml:space="preserve"/>
      </w:r>
    </w:p>
    <w:p>
      <w:pPr>
        <w:spacing w:after="120" w:before="160" w:line="276"/>
        <w:jc w:val="left"/>
      </w:pPr>
      <w:r>
        <w:rPr>
          <w:rFonts w:ascii="Calibri" w:cs="Calibri" w:eastAsia="Calibri" w:hAnsi="Calibri"/>
          <w:b/>
          <w:bCs/>
          <w:i w:val="false"/>
          <w:iCs w:val="false"/>
          <w:color w:val="1B3A6B"/>
          <w:sz w:val="22"/>
          <w:szCs w:val="22"/>
        </w:rPr>
        <w:t xml:space="preserve">Le problème structurel</w:t>
      </w:r>
    </w:p>
    <w:p>
      <w:pPr>
        <w:spacing w:after="160" w:before="80" w:line="316"/>
      </w:pPr>
      <w:r>
        <w:rPr>
          <w:rFonts w:ascii="Calibri" w:cs="Calibri" w:eastAsia="Calibri" w:hAnsi="Calibri"/>
          <w:color w:val="111827"/>
          <w:sz w:val="22"/>
          <w:szCs w:val="22"/>
        </w:rPr>
        <w:t xml:space="preserve">Le web actuel a été conçu pour des utilisateurs humains. Ses formats — HTML, CSS, JavaScript — supposent un rendu visuel et une interprétation humaine. Or les agents IA sont en train de devenir les principaux consommateurs de contenu web, sans que l'infrastructure ne soit adaptée à cette réalité.</w:t>
      </w:r>
    </w:p>
    <w:p>
      <w:pPr>
        <w:spacing w:after="160" w:before="80" w:line="316"/>
      </w:pPr>
      <w:r>
        <w:rPr>
          <w:rFonts w:ascii="Calibri" w:cs="Calibri" w:eastAsia="Calibri" w:hAnsi="Calibri"/>
          <w:color w:val="111827"/>
          <w:sz w:val="22"/>
          <w:szCs w:val="22"/>
        </w:rPr>
        <w:t xml:space="preserve">Il en résulte trois problèmes simultanés :</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Les éditeurs européens perdent le contrôle de leur contenu, ingéré massivement par des systèmes d'IA sans attribution ni compensation</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Les labs d'IA dépensent des ressources computationnelles considérables pour extraire de l'information d'un format non conçu pour eux (4 appels LLM par page, 9 secondes de traitement)</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La traçabilité des données d'entraînement — exigée par l'AI Act — est techniquement impossible sans un standard d'annotation sémantique</w:t>
      </w:r>
    </w:p>
    <w:p>
      <w:pPr>
        <w:spacing w:after="80" w:before="80"/>
      </w:pPr>
      <w:r>
        <w:t xml:space="preserve"/>
      </w:r>
    </w:p>
    <w:p>
      <w:pPr>
        <w:spacing w:after="120" w:before="160" w:line="276"/>
        <w:jc w:val="left"/>
      </w:pPr>
      <w:r>
        <w:rPr>
          <w:rFonts w:ascii="Calibri" w:cs="Calibri" w:eastAsia="Calibri" w:hAnsi="Calibri"/>
          <w:b/>
          <w:bCs/>
          <w:i w:val="false"/>
          <w:iCs w:val="false"/>
          <w:color w:val="1B3A6B"/>
          <w:sz w:val="22"/>
          <w:szCs w:val="22"/>
        </w:rPr>
        <w:t xml:space="preserve">La solution : protocole SeamLayer</w:t>
      </w:r>
    </w:p>
    <w:p>
      <w:pPr>
        <w:spacing w:after="160" w:before="80" w:line="316"/>
      </w:pPr>
      <w:r>
        <w:rPr>
          <w:rFonts w:ascii="Calibri" w:cs="Calibri" w:eastAsia="Calibri" w:hAnsi="Calibri"/>
          <w:color w:val="111827"/>
          <w:sz w:val="22"/>
          <w:szCs w:val="22"/>
        </w:rPr>
        <w:t xml:space="preserve">SeamLayer définit une couche parallèle au web humain — trois formats de fichiers (.spsk/.spk/.spki) qui permettent aux agents IA de découvrir, vérifier cryptographiquement, consommer et payer du contenu structuré, sans jamais parser le HTML.</w:t>
      </w:r>
    </w:p>
    <w:p>
      <w:pPr>
        <w:spacing w:after="160" w:before="80" w:line="316"/>
      </w:pPr>
      <w:r>
        <w:rPr>
          <w:rFonts w:ascii="Calibri" w:cs="Calibri" w:eastAsia="Calibri" w:hAnsi="Calibri"/>
          <w:color w:val="111827"/>
          <w:sz w:val="22"/>
          <w:szCs w:val="22"/>
        </w:rPr>
        <w:t xml:space="preserve">Le protocole implémente directement les obligations de l'AI Act (Art. 10, Art. 53) et la réserve TDM de la directive DSM (Art. 4). Il est développé en open source (MIT + CC0) et soumis au W3C Community Group pour standardisation.</w:t>
      </w:r>
    </w:p>
    <w:p>
      <w:pPr>
        <w:spacing w:after="80" w:before="80"/>
      </w:pPr>
      <w:r>
        <w:t xml:space="preserve"/>
      </w:r>
    </w:p>
    <w:p>
      <w:pPr>
        <w:spacing w:after="120" w:before="160" w:line="276"/>
        <w:jc w:val="left"/>
      </w:pPr>
      <w:r>
        <w:rPr>
          <w:rFonts w:ascii="Calibri" w:cs="Calibri" w:eastAsia="Calibri" w:hAnsi="Calibri"/>
          <w:b/>
          <w:bCs/>
          <w:i w:val="false"/>
          <w:iCs w:val="false"/>
          <w:color w:val="1B3A6B"/>
          <w:sz w:val="22"/>
          <w:szCs w:val="22"/>
        </w:rPr>
        <w:t xml:space="preserve">Pertinence pour la politique numérique européenne</w:t>
      </w:r>
    </w:p>
    <w:p>
      <w:pPr>
        <w:spacing w:after="160" w:before="80" w:line="316"/>
      </w:pPr>
      <w:r>
        <w:rPr>
          <w:rFonts w:ascii="Calibri" w:cs="Calibri" w:eastAsia="Calibri" w:hAnsi="Calibri"/>
          <w:color w:val="111827"/>
          <w:sz w:val="22"/>
          <w:szCs w:val="22"/>
        </w:rPr>
        <w:t xml:space="preserve">SeamLayer s'inscrit directement dans les priorités de la DG CONNECT :</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Souveraineté numérique : le protocole redonne aux éditeurs européens un levier économique face aux labs d'IA principalement américains</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Standardisation ouverte : soumission W3C en cours — une lettre de soutien de la Commission accélérerait significativement l'adoption</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Implémentation AI Act : premier standard technique répondant directement aux obligations de traçabilité des données d'entraînement</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Marché unique numérique : protocole unifié permettant une interopérabilité transfrontalière entre éditeurs et systèmes IA</w:t>
      </w:r>
    </w:p>
    <w:p>
      <w:pPr>
        <w:spacing w:after="80" w:before="80"/>
      </w:pPr>
      <w:r>
        <w:t xml:space="preserve"/>
      </w:r>
    </w:p>
    <w:p>
      <w:pPr>
        <w:spacing w:after="120" w:before="160" w:line="276"/>
        <w:jc w:val="left"/>
      </w:pPr>
      <w:r>
        <w:rPr>
          <w:rFonts w:ascii="Calibri" w:cs="Calibri" w:eastAsia="Calibri" w:hAnsi="Calibri"/>
          <w:b/>
          <w:bCs/>
          <w:i w:val="false"/>
          <w:iCs w:val="false"/>
          <w:color w:val="1B3A6B"/>
          <w:sz w:val="22"/>
          <w:szCs w:val="22"/>
        </w:rPr>
        <w:t xml:space="preserve">Demandes spécifiques</w:t>
      </w:r>
    </w:p>
    <w:p>
      <w:pPr>
        <w:spacing w:after="160" w:before="80" w:line="316"/>
      </w:pPr>
      <w:r>
        <w:rPr>
          <w:rFonts w:ascii="Calibri" w:cs="Calibri" w:eastAsia="Calibri" w:hAnsi="Calibri"/>
          <w:color w:val="111827"/>
          <w:sz w:val="22"/>
          <w:szCs w:val="22"/>
        </w:rPr>
        <w:t xml:space="preserve">Je sollicite auprès de la DG CONNECT :</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Une lettre de soutien à la soumission de SeamLayer au W3C Community Group, signalant l'intérêt réglementaire européen pour ce type de standard agent-natif</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L'examen de SeamLayer dans le cadre des travaux sur les actes délégués de l'AI Act, notamment pour les exigences d'implémentation des Art. 10 et 53</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La mise en contact avec les acteurs européens pertinents (éditeurs, labs IA, instances de standardisation) pour un pilote de déploiement co-financé par les instruments Horizon Europe ou Digital Europe</w:t>
      </w:r>
    </w:p>
    <w:p>
      <w:pPr>
        <w:spacing w:after="80" w:before="80"/>
      </w:pPr>
      <w:r>
        <w:t xml:space="preserve"/>
      </w:r>
    </w:p>
    <w:p>
      <w:pPr>
        <w:spacing w:after="160" w:before="80" w:line="316"/>
      </w:pPr>
      <w:r>
        <w:rPr>
          <w:rFonts w:ascii="Calibri" w:cs="Calibri" w:eastAsia="Calibri" w:hAnsi="Calibri"/>
          <w:color w:val="111827"/>
          <w:sz w:val="22"/>
          <w:szCs w:val="22"/>
        </w:rPr>
        <w:t xml:space="preserve">La fenêtre de standardisation est étroite : les actes délégués de l'AI Act sont en cours de rédaction. Si un standard technique n'est pas référencé dans ces instruments maintenant, l'implémentation fragmentera en dizaines de solutions propriétaires, rendant le contrôle réglementaire effectivement impossible.</w:t>
      </w:r>
    </w:p>
    <w:p>
      <w:pPr>
        <w:spacing w:after="160" w:before="80" w:line="316"/>
      </w:pPr>
      <w:r>
        <w:rPr>
          <w:rFonts w:ascii="Calibri" w:cs="Calibri" w:eastAsia="Calibri" w:hAnsi="Calibri"/>
          <w:color w:val="111827"/>
          <w:sz w:val="22"/>
          <w:szCs w:val="22"/>
        </w:rPr>
        <w:t xml:space="preserve">Je joins l'ensemble de la documentation technique et le document de position soumis à la consultation du Code de Pratique GPAI. Je suis disponible pour toute présentation, réunion de travail, ou participation aux consultations publiques.</w:t>
      </w:r>
    </w:p>
    <w:p>
      <w:pPr>
        <w:spacing w:after="160" w:before="80" w:line="316"/>
      </w:pPr>
      <w:r>
        <w:rPr>
          <w:rFonts w:ascii="Calibri" w:cs="Calibri" w:eastAsia="Calibri" w:hAnsi="Calibri"/>
          <w:color w:val="111827"/>
          <w:sz w:val="22"/>
          <w:szCs w:val="22"/>
        </w:rPr>
        <w:t xml:space="preserve">Dans l'attente de votre réponse, je vous prie d'agréer, Madame, Monsieur, l'expression de mes respectueuses salutations.</w:t>
      </w:r>
    </w:p>
    <w:p>
      <w:pPr>
        <w:spacing w:after="160" w:before="160"/>
      </w:pPr>
      <w:r>
        <w:t xml:space="preserve"/>
      </w:r>
    </w:p>
    <w:p>
      <w:pPr>
        <w:spacing w:after="160" w:before="0" w:line="276"/>
        <w:jc w:val="left"/>
      </w:pPr>
      <w:r>
        <w:rPr>
          <w:rFonts w:ascii="Calibri" w:cs="Calibri" w:eastAsia="Calibri" w:hAnsi="Calibri"/>
          <w:b/>
          <w:bCs/>
          <w:i w:val="false"/>
          <w:iCs w:val="false"/>
          <w:color w:val="111827"/>
          <w:sz w:val="22"/>
          <w:szCs w:val="22"/>
        </w:rPr>
        <w:t xml:space="preserve">Romuald Martin</w:t>
      </w:r>
    </w:p>
    <w:p>
      <w:pPr>
        <w:spacing w:after="160" w:before="0" w:line="276"/>
        <w:jc w:val="left"/>
      </w:pPr>
      <w:r>
        <w:rPr>
          <w:rFonts w:ascii="Calibri" w:cs="Calibri" w:eastAsia="Calibri" w:hAnsi="Calibri"/>
          <w:b w:val="false"/>
          <w:bCs w:val="false"/>
          <w:i w:val="false"/>
          <w:iCs w:val="false"/>
          <w:color w:val="111827"/>
          <w:sz w:val="22"/>
          <w:szCs w:val="22"/>
        </w:rPr>
        <w:t xml:space="preserve">Chercheur indépendant</w:t>
      </w:r>
    </w:p>
    <w:p>
      <w:pPr>
        <w:spacing w:after="160" w:before="0" w:line="276"/>
        <w:jc w:val="left"/>
      </w:pPr>
      <w:r>
        <w:rPr>
          <w:rFonts w:ascii="Calibri" w:cs="Calibri" w:eastAsia="Calibri" w:hAnsi="Calibri"/>
          <w:b w:val="false"/>
          <w:bCs w:val="false"/>
          <w:i w:val="false"/>
          <w:iCs w:val="false"/>
          <w:color w:val="111827"/>
          <w:sz w:val="22"/>
          <w:szCs w:val="22"/>
        </w:rPr>
        <w:t xml:space="preserve">romuald.martin@gmail.com</w:t>
      </w:r>
    </w:p>
    <w:p>
      <w:pPr>
        <w:spacing w:after="160" w:before="0" w:line="276"/>
        <w:jc w:val="left"/>
      </w:pPr>
      <w:r>
        <w:rPr>
          <w:rFonts w:ascii="Calibri" w:cs="Calibri" w:eastAsia="Calibri" w:hAnsi="Calibri"/>
          <w:b w:val="false"/>
          <w:bCs w:val="false"/>
          <w:i w:val="false"/>
          <w:iCs w:val="false"/>
          <w:color w:val="111827"/>
          <w:sz w:val="22"/>
          <w:szCs w:val="22"/>
        </w:rPr>
        <w:t xml:space="preserve">Cabin Skolar — Bourgogne, France</w:t>
      </w:r>
    </w:p>
    <w:p>
      <w:pPr>
        <w:spacing w:after="160" w:before="160"/>
      </w:pPr>
      <w:r>
        <w:t xml:space="preserve"/>
      </w:r>
    </w:p>
    <w:p>
      <w:pPr>
        <w:spacing w:after="160" w:before="0" w:line="276"/>
        <w:jc w:val="left"/>
      </w:pPr>
      <w:r>
        <w:rPr>
          <w:rFonts w:ascii="Calibri" w:cs="Calibri" w:eastAsia="Calibri" w:hAnsi="Calibri"/>
          <w:b/>
          <w:bCs/>
          <w:i w:val="false"/>
          <w:iCs w:val="false"/>
          <w:color w:val="1B3A6B"/>
          <w:sz w:val="22"/>
          <w:szCs w:val="22"/>
        </w:rPr>
        <w:t xml:space="preserve">Pièces jointes :</w:t>
      </w:r>
    </w:p>
    <w:p>
      <w:pPr>
        <w:spacing w:after="160" w:before="0" w:line="276"/>
        <w:jc w:val="left"/>
      </w:pPr>
      <w:r>
        <w:rPr>
          <w:rFonts w:ascii="Calibri" w:cs="Calibri" w:eastAsia="Calibri" w:hAnsi="Calibri"/>
          <w:b w:val="false"/>
          <w:bCs w:val="false"/>
          <w:i w:val="false"/>
          <w:iCs w:val="false"/>
          <w:color w:val="111827"/>
          <w:sz w:val="22"/>
          <w:szCs w:val="22"/>
        </w:rPr>
        <w:t xml:space="preserve">1. SeamLayer Protocol — White Paper v2.0 (spécification technique complète)</w:t>
      </w:r>
    </w:p>
    <w:p>
      <w:pPr>
        <w:spacing w:after="160" w:before="0" w:line="276"/>
        <w:jc w:val="left"/>
      </w:pPr>
      <w:r>
        <w:rPr>
          <w:rFonts w:ascii="Calibri" w:cs="Calibri" w:eastAsia="Calibri" w:hAnsi="Calibri"/>
          <w:b w:val="false"/>
          <w:bCs w:val="false"/>
          <w:i w:val="false"/>
          <w:iCs w:val="false"/>
          <w:color w:val="111827"/>
          <w:sz w:val="22"/>
          <w:szCs w:val="22"/>
        </w:rPr>
        <w:t xml:space="preserve">2. Position Paper — EU AI Act GPAI Code of Practice (8 sections)</w:t>
      </w:r>
    </w:p>
    <w:p>
      <w:pPr>
        <w:spacing w:after="160" w:before="0" w:line="276"/>
        <w:jc w:val="left"/>
      </w:pPr>
      <w:r>
        <w:rPr>
          <w:rFonts w:ascii="Calibri" w:cs="Calibri" w:eastAsia="Calibri" w:hAnsi="Calibri"/>
          <w:b w:val="false"/>
          <w:bCs w:val="false"/>
          <w:i w:val="false"/>
          <w:iCs w:val="false"/>
          <w:color w:val="111827"/>
          <w:sz w:val="22"/>
          <w:szCs w:val="22"/>
        </w:rPr>
        <w:t xml:space="preserve">3. Benchmark — HTML scraping vs SeamLayer (méthodologie + résultats)</w:t>
      </w:r>
    </w:p>
    <w:p>
      <w:pPr>
        <w:spacing w:after="160" w:before="0" w:line="276"/>
        <w:jc w:val="left"/>
      </w:pPr>
      <w:r>
        <w:rPr>
          <w:rFonts w:ascii="Calibri" w:cs="Calibri" w:eastAsia="Calibri" w:hAnsi="Calibri"/>
          <w:b w:val="false"/>
          <w:bCs w:val="false"/>
          <w:i w:val="false"/>
          <w:iCs w:val="false"/>
          <w:color w:val="111827"/>
          <w:sz w:val="22"/>
          <w:szCs w:val="22"/>
        </w:rPr>
        <w:t xml:space="preserve">4. Code source complet — github.com/seamlayer-protocol (forthcoming)</w:t>
      </w:r>
    </w:p>
    <w:sectPr>
      <w:footerReference w:type="default" r:id="rId7"/>
      <w:pgSz w:w="11906" w:h="16838" w:orient="portrait"/>
      <w:pgMar w:top="1800" w:right="1440" w:bottom="180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spacing w:before="120"/>
      <w:jc w:val="right"/>
    </w:pPr>
    <w:r>
      <w:rPr>
        <w:rFonts w:ascii="Calibri" w:cs="Calibri" w:eastAsia="Calibri" w:hAnsi="Calibri"/>
        <w:color w:val="6B7280"/>
        <w:sz w:val="16"/>
        <w:szCs w:val="16"/>
      </w:rPr>
      <w:t xml:space="preserve">SeamLayer Protocol — Romuald Martin — romuald.martin@gmail.com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2026-05-03T12:50:46.106Z</dcterms:created>
  <dcterms:modified xsi:type="dcterms:W3CDTF">2026-05-03T12:50:46.106Z</dcterms:modified>
</cp:coreProperties>
</file>

<file path=docProps/custom.xml><?xml version="1.0" encoding="utf-8"?>
<Properties xmlns="http://schemas.openxmlformats.org/officeDocument/2006/custom-properties" xmlns:vt="http://schemas.openxmlformats.org/officeDocument/2006/docPropsVTypes"/>
</file>