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360" w:line="300" w:lineRule="auto"/>
        <w:ind w:left="-300" w:firstLine="0"/>
        <w:rPr>
          <w:b w:val="1"/>
          <w:bCs w:val="1"/>
          <w:color w:val="212121"/>
          <w:sz w:val="34"/>
          <w:szCs w:val="34"/>
        </w:rPr>
      </w:pPr>
      <w:bookmarkStart w:colFirst="0" w:colLast="0" w:name="_n3my4po6sah" w:id="0"/>
      <w:bookmarkEnd w:id="0"/>
      <w:r w:rsidDel="00000000" w:rsidR="00000000" w:rsidRPr="00000000">
        <w:rPr>
          <w:b w:val="1"/>
          <w:bCs w:val="1"/>
          <w:color w:val="212121"/>
          <w:sz w:val="34"/>
          <w:szCs w:val="34"/>
          <w:rtl w:val="0"/>
        </w:rPr>
        <w:t xml:space="preserve">Exercise 05 — Types of Decomposition (Виды декомпозиции) </w:t>
      </w:r>
    </w:p>
    <w:p w:rsidR="00000000" w:rsidDel="00000000" w:rsidP="00000000" w:rsidRDefault="00000000" w:rsidRPr="00000000" w14:paraId="00000002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Для задачи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Декомпозиция действий курьеров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176963" cy="29495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2317" l="0" r="39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949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декомпозиции</w:t>
      </w:r>
      <w:r w:rsidDel="00000000" w:rsidR="00000000" w:rsidRPr="00000000">
        <w:rPr>
          <w:rtl w:val="0"/>
        </w:rPr>
        <w:t xml:space="preserve">: разбиение процесса доставки заказа курьером на иерархию последовательных операций и действий.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Вид декомпозиции</w:t>
      </w:r>
      <w:r w:rsidDel="00000000" w:rsidR="00000000" w:rsidRPr="00000000">
        <w:rPr>
          <w:rtl w:val="0"/>
        </w:rPr>
        <w:t xml:space="preserve">: функциональная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Количество уровней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Объектная декомпозиция действующих лиц (ролей)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объектной декомпозиции</w:t>
      </w:r>
      <w:r w:rsidDel="00000000" w:rsidR="00000000" w:rsidRPr="00000000">
        <w:rPr>
          <w:rtl w:val="0"/>
        </w:rPr>
        <w:t xml:space="preserve">: структуризация всех участников системы доставки по ролям для: определения ответственных и их области задач; выдача соответствующих прав доступа; создания личных кабинетов и приложений/интерфейсов под их задачи.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Количество уровней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Критерий разбиения уровня 1: действующие лица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Критерий разбиения уровня 2: компоненты действующих лиц (основные модули для каждой роли)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