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jc w:val="left"/>
        <w:textAlignment w:val="auto"/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0、切图准备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在以往提交成果的切图时，切图Tile使用提交范围的网格shp，DAE成果分块。</w:t>
      </w:r>
      <w:r>
        <w:rPr>
          <w:rFonts w:hint="eastAsia"/>
          <w:color w:val="FF0000"/>
          <w:lang w:val="en-US" w:eastAsia="zh-CN"/>
        </w:rPr>
        <w:t>在漏蓝检查时，切图Tile直接使用提交范围的边框shp</w:t>
      </w:r>
      <w:r>
        <w:rPr>
          <w:rFonts w:hint="eastAsia"/>
          <w:lang w:val="en-US" w:eastAsia="zh-CN"/>
        </w:rPr>
        <w:t>，后续检查中不需再合并，节约检查时效。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</w:t>
      </w:r>
      <w:r>
        <w:rPr>
          <w:rFonts w:hint="eastAsia"/>
          <w:color w:val="FF0000"/>
          <w:lang w:val="en-US" w:eastAsia="zh-CN"/>
        </w:rPr>
        <w:t>15级Tile网格数</w:t>
      </w:r>
      <w:r>
        <w:rPr>
          <w:rFonts w:hint="eastAsia"/>
          <w:lang w:val="en-US" w:eastAsia="zh-CN"/>
        </w:rPr>
        <w:t>不超过60为大小城市划分标准：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color w:val="FF0000"/>
          <w:lang w:val="en-US" w:eastAsia="zh-CN"/>
        </w:rPr>
        <w:t>大城市</w:t>
      </w:r>
      <w:r>
        <w:rPr>
          <w:rFonts w:hint="eastAsia"/>
          <w:lang w:val="en-US" w:eastAsia="zh-CN"/>
        </w:rPr>
        <w:t>需要拆分切图，拆分后每块15级Tile网格数不超过60，自行合并Outline时，注意Outline中需要有TILEID字段并赋整数值才能切图。</w:t>
      </w:r>
      <w:r>
        <w:rPr>
          <w:rFonts w:hint="eastAsia"/>
          <w:color w:val="FF0000"/>
          <w:lang w:val="en-US" w:eastAsia="zh-CN"/>
        </w:rPr>
        <w:t>小城市</w:t>
      </w:r>
      <w:r>
        <w:rPr>
          <w:rFonts w:hint="eastAsia"/>
          <w:lang w:val="en-US" w:eastAsia="zh-CN"/>
        </w:rPr>
        <w:t>可直接完整切图。</w:t>
      </w:r>
      <w:r>
        <w:drawing>
          <wp:inline distT="0" distB="0" distL="114300" distR="114300">
            <wp:extent cx="5201920" cy="4945380"/>
            <wp:effectExtent l="0" t="0" r="17780" b="762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602" r="747"/>
                    <a:stretch>
                      <a:fillRect/>
                    </a:stretch>
                  </pic:blipFill>
                  <pic:spPr>
                    <a:xfrm>
                      <a:off x="0" y="0"/>
                      <a:ext cx="5201920" cy="494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jc w:val="left"/>
        <w:textAlignment w:val="auto"/>
        <w:outlineLvl w:val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工具介绍及使用准备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工具功能：</w:t>
      </w:r>
      <w:r>
        <w:rPr>
          <w:rFonts w:hint="eastAsia"/>
          <w:lang w:val="en-US" w:eastAsia="zh-CN"/>
        </w:rPr>
        <w:t>将DAE转SHP后的底面数据H_poly.shp进行漏蓝检查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575175" cy="2104390"/>
            <wp:effectExtent l="0" t="0" r="15875" b="1016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5175" cy="210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使用准备：</w:t>
      </w:r>
      <w:r>
        <w:rPr>
          <w:rFonts w:hint="eastAsia"/>
          <w:lang w:val="en-US" w:eastAsia="zh-CN"/>
        </w:rPr>
        <w:t>将检查工具复制到任一文件夹，在ArcGIS中目录中刷新可见。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535680" cy="1414145"/>
            <wp:effectExtent l="0" t="0" r="7620" b="146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点选工具，右键属性，设置脚本文件的路径编辑。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781300" cy="1323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686050" cy="3583940"/>
            <wp:effectExtent l="0" t="0" r="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58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确定后，右键打开工具，界面如下。即可使用。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575175" cy="2104390"/>
            <wp:effectExtent l="0" t="0" r="15875" b="10160"/>
            <wp:docPr id="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5175" cy="210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jc w:val="left"/>
        <w:textAlignment w:val="auto"/>
        <w:outlineLvl w:val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检查环境准备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在使用工具前：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1、需要新建好以</w:t>
      </w:r>
      <w:r>
        <w:rPr>
          <w:rFonts w:hint="eastAsia"/>
          <w:b w:val="0"/>
          <w:bCs w:val="0"/>
          <w:sz w:val="21"/>
          <w:szCs w:val="21"/>
          <w:highlight w:val="yellow"/>
          <w:lang w:val="en-US" w:eastAsia="zh-CN"/>
        </w:rPr>
        <w:t>大写英文城市名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命名的文件夹，</w:t>
      </w:r>
      <w:r>
        <w:rPr>
          <w:rFonts w:hint="eastAsia"/>
          <w:b w:val="0"/>
          <w:bCs w:val="0"/>
          <w:sz w:val="21"/>
          <w:szCs w:val="21"/>
          <w:highlight w:val="yellow"/>
          <w:lang w:val="en-US" w:eastAsia="zh-CN"/>
        </w:rPr>
        <w:t>确保数据所在路径为全英文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，见下图1。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2、准备好已由DAE转换成shp的待查数据，数据所在文件夹命名为：</w:t>
      </w:r>
      <w:r>
        <w:rPr>
          <w:rFonts w:hint="eastAsia"/>
          <w:b w:val="0"/>
          <w:bCs w:val="0"/>
          <w:sz w:val="21"/>
          <w:szCs w:val="21"/>
          <w:highlight w:val="yellow"/>
          <w:lang w:val="en-US" w:eastAsia="zh-CN"/>
        </w:rPr>
        <w:t>DAE_SHP，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见下图2。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做好以上准备后，便可以使用工具。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放置好城市提交范围的GRID平面坐标tile。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4、切图成果转换为SHP后，以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城市大写英文名_MERGE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命名放好。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433955" cy="2652395"/>
            <wp:effectExtent l="0" t="0" r="4445" b="1460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3955" cy="265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jc w:val="left"/>
        <w:textAlignment w:val="auto"/>
        <w:outlineLvl w:val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开始检查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在输入要素处选择上图中1所指文件夹，点击确定开始检查。检查完成后，过程及结果数据也存储在此文件夹中。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7960" cy="2448560"/>
            <wp:effectExtent l="0" t="0" r="8890" b="8890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4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jc w:val="left"/>
        <w:textAlignment w:val="auto"/>
        <w:outlineLvl w:val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结果确认</w:t>
      </w:r>
    </w:p>
    <w:p>
      <w:pPr>
        <w:pStyle w:val="2"/>
        <w:keepNext w:val="0"/>
        <w:keepLines w:val="0"/>
        <w:widowControl/>
        <w:suppressLineNumbers w:val="0"/>
        <w:spacing w:before="105" w:beforeAutospacing="0" w:after="105" w:afterAutospacing="0"/>
        <w:ind w:left="210" w:right="105" w:firstLine="300"/>
        <w:jc w:val="left"/>
        <w:rPr>
          <w:rFonts w:hint="eastAsia" w:ascii="Arial" w:hAnsi="Arial" w:cs="Arial"/>
          <w:b w:val="0"/>
          <w:bCs w:val="0"/>
          <w:i w:val="0"/>
          <w:color w:val="00000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当工具运行成功后，</w:t>
      </w:r>
      <w:r>
        <w:rPr>
          <w:rFonts w:hint="eastAsia"/>
          <w:b w:val="0"/>
          <w:bCs w:val="0"/>
          <w:sz w:val="21"/>
          <w:szCs w:val="21"/>
          <w:highlight w:val="yellow"/>
          <w:lang w:val="en-US" w:eastAsia="zh-CN"/>
        </w:rPr>
        <w:t>漏蓝检查结果存储在BLUE图层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中。可以综合其他图层对漏蓝区</w:t>
      </w:r>
      <w:r>
        <w:rPr>
          <w:rFonts w:hint="eastAsia" w:ascii="Arial" w:hAnsi="Arial" w:cs="Arial"/>
          <w:b w:val="0"/>
          <w:bCs w:val="0"/>
          <w:i w:val="0"/>
          <w:color w:val="000000"/>
          <w:sz w:val="21"/>
          <w:szCs w:val="21"/>
          <w:lang w:val="en-US" w:eastAsia="zh-CN"/>
        </w:rPr>
        <w:t xml:space="preserve">域进行定位修改。  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210" w:right="108" w:firstLine="0"/>
        <w:jc w:val="left"/>
        <w:textAlignment w:val="auto"/>
        <w:rPr>
          <w:rFonts w:hint="default" w:ascii="Arial" w:hAnsi="Arial" w:cs="Arial"/>
          <w:b w:val="0"/>
          <w:bCs w:val="0"/>
          <w:i w:val="0"/>
          <w:color w:val="000000"/>
          <w:sz w:val="21"/>
          <w:szCs w:val="21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olor w:val="000000"/>
          <w:sz w:val="21"/>
          <w:szCs w:val="21"/>
          <w:lang w:val="en-US" w:eastAsia="zh-CN"/>
        </w:rPr>
        <w:t>MERGE：城市分Tile的H_poly.shp合并成果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210" w:right="108" w:firstLine="0"/>
        <w:jc w:val="left"/>
        <w:textAlignment w:val="auto"/>
        <w:rPr>
          <w:rFonts w:hint="eastAsia" w:ascii="Arial" w:hAnsi="Arial" w:cs="Arial"/>
          <w:b w:val="0"/>
          <w:bCs w:val="0"/>
          <w:i w:val="0"/>
          <w:color w:val="000000"/>
          <w:sz w:val="21"/>
          <w:szCs w:val="21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olor w:val="000000"/>
          <w:sz w:val="21"/>
          <w:szCs w:val="21"/>
          <w:lang w:val="en-US" w:eastAsia="zh-CN"/>
        </w:rPr>
        <w:t>DESSOLVE：按PID融合后的成果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210" w:right="108" w:firstLine="0"/>
        <w:jc w:val="left"/>
        <w:textAlignment w:val="auto"/>
        <w:rPr>
          <w:rFonts w:hint="eastAsia" w:cs="Arial"/>
          <w:b w:val="0"/>
          <w:bCs w:val="0"/>
          <w:i w:val="0"/>
          <w:color w:val="000000"/>
          <w:sz w:val="21"/>
          <w:szCs w:val="21"/>
          <w:lang w:val="en-US" w:eastAsia="zh-CN"/>
        </w:rPr>
      </w:pPr>
      <w:r>
        <w:rPr>
          <w:rFonts w:hint="eastAsia" w:cs="Arial"/>
          <w:b w:val="0"/>
          <w:bCs w:val="0"/>
          <w:i w:val="0"/>
          <w:color w:val="000000"/>
          <w:sz w:val="21"/>
          <w:szCs w:val="21"/>
          <w:lang w:val="en-US" w:eastAsia="zh-CN"/>
        </w:rPr>
        <w:t>SYMDIFF：包含Outline范围外建筑数据部分的漏蓝数据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210" w:right="108" w:firstLine="0"/>
        <w:jc w:val="left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BLUE：城市提交范围内的漏蓝数据</w:t>
      </w:r>
    </w:p>
    <w:p>
      <w:pPr>
        <w:pStyle w:val="2"/>
        <w:keepNext w:val="0"/>
        <w:keepLines w:val="0"/>
        <w:widowControl/>
        <w:suppressLineNumbers w:val="0"/>
        <w:spacing w:before="105" w:beforeAutospacing="0" w:after="105" w:afterAutospacing="0"/>
        <w:ind w:left="210" w:right="105" w:firstLine="30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在BLUE图层中，</w:t>
      </w:r>
      <w:r>
        <w:rPr>
          <w:rFonts w:hint="eastAsia"/>
          <w:b w:val="0"/>
          <w:bCs w:val="0"/>
          <w:sz w:val="21"/>
          <w:szCs w:val="21"/>
          <w:highlight w:val="yellow"/>
          <w:lang w:val="en-US" w:eastAsia="zh-CN"/>
        </w:rPr>
        <w:t>FTYPE为空GID为0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的为漏蓝数据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，包含因GID为空而无法切出的道路，以及其他漏蓝缝隙；其他PID不为0的为边界处冗数据，请忽略。</w:t>
      </w:r>
    </w:p>
    <w:p>
      <w:pPr>
        <w:pStyle w:val="2"/>
        <w:keepNext w:val="0"/>
        <w:keepLines w:val="0"/>
        <w:widowControl/>
        <w:suppressLineNumbers w:val="0"/>
        <w:spacing w:before="105" w:beforeAutospacing="0" w:after="105" w:afterAutospacing="0"/>
        <w:ind w:left="210" w:right="105" w:firstLine="30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1390650" cy="419100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left"/>
        <w:textAlignment w:val="auto"/>
        <w:outlineLvl w:val="0"/>
        <w:rPr>
          <w:rFonts w:hint="default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250055" cy="2441575"/>
            <wp:effectExtent l="0" t="0" r="17145" b="1587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rcRect l="840" r="516"/>
                    <a:stretch>
                      <a:fillRect/>
                    </a:stretch>
                  </pic:blipFill>
                  <pic:spPr>
                    <a:xfrm>
                      <a:off x="0" y="0"/>
                      <a:ext cx="4250055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66160" cy="4544695"/>
            <wp:effectExtent l="0" t="0" r="15240" b="8255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454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4046220"/>
            <wp:effectExtent l="0" t="0" r="11430" b="1143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15764"/>
    <w:multiLevelType w:val="singleLevel"/>
    <w:tmpl w:val="1801576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E2546"/>
    <w:rsid w:val="02A7678C"/>
    <w:rsid w:val="05CB67FD"/>
    <w:rsid w:val="09B6322C"/>
    <w:rsid w:val="0AFC7375"/>
    <w:rsid w:val="13C67574"/>
    <w:rsid w:val="15EA2F83"/>
    <w:rsid w:val="1E3B5E51"/>
    <w:rsid w:val="267553B8"/>
    <w:rsid w:val="277531E0"/>
    <w:rsid w:val="2A5210C2"/>
    <w:rsid w:val="2E077A31"/>
    <w:rsid w:val="2F6432BF"/>
    <w:rsid w:val="2FC563B5"/>
    <w:rsid w:val="35C66467"/>
    <w:rsid w:val="373F21E2"/>
    <w:rsid w:val="37F63412"/>
    <w:rsid w:val="3A434461"/>
    <w:rsid w:val="3A570035"/>
    <w:rsid w:val="433D1EF7"/>
    <w:rsid w:val="433F7509"/>
    <w:rsid w:val="45FA5FDE"/>
    <w:rsid w:val="47E33C69"/>
    <w:rsid w:val="48F803D0"/>
    <w:rsid w:val="4BBD2ABC"/>
    <w:rsid w:val="4DD974DE"/>
    <w:rsid w:val="55BC35D1"/>
    <w:rsid w:val="56214189"/>
    <w:rsid w:val="5EBC774C"/>
    <w:rsid w:val="5EFF6F4B"/>
    <w:rsid w:val="600B618A"/>
    <w:rsid w:val="624169EC"/>
    <w:rsid w:val="63E10504"/>
    <w:rsid w:val="652C57F9"/>
    <w:rsid w:val="66AD018C"/>
    <w:rsid w:val="67425D54"/>
    <w:rsid w:val="68BD401A"/>
    <w:rsid w:val="6D890A27"/>
    <w:rsid w:val="6E694F58"/>
    <w:rsid w:val="71B26691"/>
    <w:rsid w:val="727C60B3"/>
    <w:rsid w:val="73AD3757"/>
    <w:rsid w:val="73AE5544"/>
    <w:rsid w:val="76C02EF0"/>
    <w:rsid w:val="7BA216AB"/>
    <w:rsid w:val="7DEA45A2"/>
    <w:rsid w:val="7E0E438B"/>
    <w:rsid w:val="7F56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rFonts w:ascii="Arial" w:hAnsi="Arial" w:cs="Arial"/>
      <w:color w:val="000000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zhutong</dc:creator>
  <cp:lastModifiedBy>zhutong</cp:lastModifiedBy>
  <dcterms:modified xsi:type="dcterms:W3CDTF">2019-06-14T06:43:43Z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