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先修改下图蓝椭圆框中版本号——差分成果将命名为：版本号+绿地/水系差分量.shp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可以修改蓝方框中输入输出路径</w:t>
      </w:r>
    </w:p>
    <w:p>
      <w:r>
        <w:drawing>
          <wp:inline distT="0" distB="0" distL="114300" distR="114300">
            <wp:extent cx="5271770" cy="3930650"/>
            <wp:effectExtent l="0" t="0" r="508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eastAsia"/>
          <w:lang w:val="en-US" w:eastAsia="zh-CN"/>
        </w:rPr>
        <w:t>也可以将数据拷贝到如下路径中，F5运行</w:t>
      </w:r>
      <w:bookmarkStart w:id="0" w:name="_GoBack"/>
      <w:bookmarkEnd w:id="0"/>
    </w:p>
    <w:p>
      <w:r>
        <w:drawing>
          <wp:inline distT="0" distB="0" distL="114300" distR="114300">
            <wp:extent cx="3257550" cy="1585595"/>
            <wp:effectExtent l="0" t="0" r="0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58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CA8891F"/>
    <w:multiLevelType w:val="singleLevel"/>
    <w:tmpl w:val="FCA8891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412659"/>
    <w:rsid w:val="48553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zhutong</dc:creator>
  <cp:lastModifiedBy>不蠹_树小孩</cp:lastModifiedBy>
  <dcterms:modified xsi:type="dcterms:W3CDTF">2020-12-14T09:01:27Z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