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将源数据平面投影后的</w:t>
      </w:r>
      <w:r>
        <w:rPr>
          <w:rFonts w:hint="eastAsia"/>
          <w:lang w:val="en-US" w:eastAsia="zh-CN"/>
        </w:rPr>
        <w:t>link、node数据拷贝到prjROAD文件夹内</w:t>
      </w:r>
    </w:p>
    <w:p>
      <w:r>
        <w:drawing>
          <wp:inline distT="0" distB="0" distL="114300" distR="114300">
            <wp:extent cx="3143250" cy="1038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543050" cy="2085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或者修改代码中的输入路径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176212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b="6837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3、F5运行程序即可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DDD3A9"/>
    <w:multiLevelType w:val="singleLevel"/>
    <w:tmpl w:val="ADDDD3A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507942"/>
    <w:rsid w:val="68EF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zhutong</dc:creator>
  <cp:lastModifiedBy>不蠹_树小孩</cp:lastModifiedBy>
  <dcterms:modified xsi:type="dcterms:W3CDTF">2020-12-15T09:48:46Z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