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python file inputs ESG data{year}.csv and daily return {year}.csv.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Calculates pearson and spearman correlation for each sector with sector mean ESG score, sector standard deviation of daily return %. For years, 2020 to 2023 individually.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Outputs results in to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Spearman's correlation coefficient Industry to ESG Risk Score{y}.csv’ 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each year. </w:t>
        <w:br w:type="textWrapping"/>
        <w:br w:type="textWrapping"/>
        <w:t xml:space="preserve">This output is then used to create heatmaps with p-vals.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