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widowControl w:val="0"/>
        <w:spacing w:after="283" w:before="240" w:line="336" w:lineRule="auto"/>
        <w:rPr>
          <w:rFonts w:ascii="Liberation Sans" w:cs="Liberation Sans" w:eastAsia="Liberation Sans" w:hAnsi="Liberation Sans"/>
          <w:b w:val="1"/>
          <w:color w:val="003366"/>
          <w:sz w:val="48"/>
          <w:szCs w:val="48"/>
        </w:rPr>
      </w:pPr>
      <w:r w:rsidDel="00000000" w:rsidR="00000000" w:rsidRPr="00000000">
        <w:rPr>
          <w:rFonts w:ascii="Liberation Sans" w:cs="Liberation Sans" w:eastAsia="Liberation Sans" w:hAnsi="Liberation Sans"/>
          <w:b w:val="1"/>
          <w:color w:val="003366"/>
          <w:sz w:val="48"/>
          <w:szCs w:val="48"/>
          <w:rtl w:val="0"/>
        </w:rPr>
        <w:t xml:space="preserve">CASO ESTAFA Y BLANQUEO DE CAPITALES – Jaén – Estimación de recurso y archivo</w:t>
      </w:r>
    </w:p>
    <w:p w:rsidR="00000000" w:rsidDel="00000000" w:rsidP="00000000" w:rsidRDefault="00000000" w:rsidRPr="00000000" w14:paraId="0000000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Ficha rápida</w:t>
      </w:r>
    </w:p>
    <w:p w:rsidR="00000000" w:rsidDel="00000000" w:rsidP="00000000" w:rsidRDefault="00000000" w:rsidRPr="00000000" w14:paraId="00000003">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Categoría:</w:t>
      </w:r>
      <w:r w:rsidDel="00000000" w:rsidR="00000000" w:rsidRPr="00000000">
        <w:rPr>
          <w:sz w:val="24"/>
          <w:szCs w:val="24"/>
          <w:rtl w:val="0"/>
        </w:rPr>
        <w:t xml:space="preserve"> Delitos económicos </w:t>
      </w:r>
    </w:p>
    <w:p w:rsidR="00000000" w:rsidDel="00000000" w:rsidP="00000000" w:rsidRDefault="00000000" w:rsidRPr="00000000" w14:paraId="00000004">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Delito principal:</w:t>
      </w:r>
      <w:r w:rsidDel="00000000" w:rsidR="00000000" w:rsidRPr="00000000">
        <w:rPr>
          <w:sz w:val="24"/>
          <w:szCs w:val="24"/>
          <w:rtl w:val="0"/>
        </w:rPr>
        <w:t xml:space="preserve"> Estafa y blanqueo de capitales </w:t>
      </w:r>
    </w:p>
    <w:p w:rsidR="00000000" w:rsidDel="00000000" w:rsidP="00000000" w:rsidRDefault="00000000" w:rsidRPr="00000000" w14:paraId="00000005">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Parte:</w:t>
      </w:r>
      <w:r w:rsidDel="00000000" w:rsidR="00000000" w:rsidRPr="00000000">
        <w:rPr>
          <w:sz w:val="24"/>
          <w:szCs w:val="24"/>
          <w:rtl w:val="0"/>
        </w:rPr>
        <w:t xml:space="preserve"> Defensa </w:t>
      </w:r>
    </w:p>
    <w:p w:rsidR="00000000" w:rsidDel="00000000" w:rsidP="00000000" w:rsidRDefault="00000000" w:rsidRPr="00000000" w14:paraId="00000006">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Órgano:</w:t>
      </w:r>
      <w:r w:rsidDel="00000000" w:rsidR="00000000" w:rsidRPr="00000000">
        <w:rPr>
          <w:sz w:val="24"/>
          <w:szCs w:val="24"/>
          <w:rtl w:val="0"/>
        </w:rPr>
        <w:t xml:space="preserve"> Audiencia Provincial de Jaén – Sección 2ª </w:t>
      </w:r>
    </w:p>
    <w:p w:rsidR="00000000" w:rsidDel="00000000" w:rsidP="00000000" w:rsidRDefault="00000000" w:rsidRPr="00000000" w14:paraId="00000007">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Sección:</w:t>
      </w:r>
      <w:r w:rsidDel="00000000" w:rsidR="00000000" w:rsidRPr="00000000">
        <w:rPr>
          <w:sz w:val="24"/>
          <w:szCs w:val="24"/>
          <w:rtl w:val="0"/>
        </w:rPr>
        <w:t xml:space="preserve"> Penal (Sección Segunda) </w:t>
      </w:r>
    </w:p>
    <w:p w:rsidR="00000000" w:rsidDel="00000000" w:rsidP="00000000" w:rsidRDefault="00000000" w:rsidRPr="00000000" w14:paraId="00000008">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Localidad:</w:t>
      </w:r>
      <w:r w:rsidDel="00000000" w:rsidR="00000000" w:rsidRPr="00000000">
        <w:rPr>
          <w:sz w:val="24"/>
          <w:szCs w:val="24"/>
          <w:rtl w:val="0"/>
        </w:rPr>
        <w:t xml:space="preserve"> Jaén </w:t>
      </w:r>
    </w:p>
    <w:p w:rsidR="00000000" w:rsidDel="00000000" w:rsidP="00000000" w:rsidRDefault="00000000" w:rsidRPr="00000000" w14:paraId="00000009">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Fase procesal:</w:t>
      </w:r>
      <w:r w:rsidDel="00000000" w:rsidR="00000000" w:rsidRPr="00000000">
        <w:rPr>
          <w:sz w:val="24"/>
          <w:szCs w:val="24"/>
          <w:rtl w:val="0"/>
        </w:rPr>
        <w:t xml:space="preserve"> Recurso de apelación </w:t>
      </w:r>
    </w:p>
    <w:p w:rsidR="00000000" w:rsidDel="00000000" w:rsidP="00000000" w:rsidRDefault="00000000" w:rsidRPr="00000000" w14:paraId="0000000A">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Tipo de resolución:</w:t>
      </w:r>
      <w:r w:rsidDel="00000000" w:rsidR="00000000" w:rsidRPr="00000000">
        <w:rPr>
          <w:sz w:val="24"/>
          <w:szCs w:val="24"/>
          <w:rtl w:val="0"/>
        </w:rPr>
        <w:t xml:space="preserve"> Auto estimatorio y sobreseimiento </w:t>
      </w:r>
    </w:p>
    <w:p w:rsidR="00000000" w:rsidDel="00000000" w:rsidP="00000000" w:rsidRDefault="00000000" w:rsidRPr="00000000" w14:paraId="0000000B">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Favorabilidad:</w:t>
      </w:r>
      <w:r w:rsidDel="00000000" w:rsidR="00000000" w:rsidRPr="00000000">
        <w:rPr>
          <w:sz w:val="24"/>
          <w:szCs w:val="24"/>
          <w:rtl w:val="0"/>
        </w:rPr>
        <w:t xml:space="preserve"> Favorable </w:t>
      </w:r>
    </w:p>
    <w:p w:rsidR="00000000" w:rsidDel="00000000" w:rsidP="00000000" w:rsidRDefault="00000000" w:rsidRPr="00000000" w14:paraId="0000000C">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Fecha:</w:t>
      </w:r>
      <w:r w:rsidDel="00000000" w:rsidR="00000000" w:rsidRPr="00000000">
        <w:rPr>
          <w:sz w:val="24"/>
          <w:szCs w:val="24"/>
          <w:rtl w:val="0"/>
        </w:rPr>
        <w:t xml:space="preserve"> 29/10/2024 </w:t>
      </w:r>
    </w:p>
    <w:p w:rsidR="00000000" w:rsidDel="00000000" w:rsidP="00000000" w:rsidRDefault="00000000" w:rsidRPr="00000000" w14:paraId="0000000D">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Año:</w:t>
      </w:r>
      <w:r w:rsidDel="00000000" w:rsidR="00000000" w:rsidRPr="00000000">
        <w:rPr>
          <w:sz w:val="24"/>
          <w:szCs w:val="24"/>
          <w:rtl w:val="0"/>
        </w:rPr>
        <w:t xml:space="preserve"> 2024 </w:t>
      </w:r>
    </w:p>
    <w:p w:rsidR="00000000" w:rsidDel="00000000" w:rsidP="00000000" w:rsidRDefault="00000000" w:rsidRPr="00000000" w14:paraId="0000000E">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Medidas cautelares:</w:t>
      </w:r>
      <w:r w:rsidDel="00000000" w:rsidR="00000000" w:rsidRPr="00000000">
        <w:rPr>
          <w:sz w:val="24"/>
          <w:szCs w:val="24"/>
          <w:rtl w:val="0"/>
        </w:rPr>
        <w:t xml:space="preserve"> Revocadas </w:t>
      </w:r>
    </w:p>
    <w:p w:rsidR="00000000" w:rsidDel="00000000" w:rsidP="00000000" w:rsidRDefault="00000000" w:rsidRPr="00000000" w14:paraId="0000000F">
      <w:pPr>
        <w:widowControl w:val="0"/>
        <w:numPr>
          <w:ilvl w:val="0"/>
          <w:numId w:val="1"/>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Popularidad:</w:t>
      </w:r>
      <w:r w:rsidDel="00000000" w:rsidR="00000000" w:rsidRPr="00000000">
        <w:rPr>
          <w:sz w:val="24"/>
          <w:szCs w:val="24"/>
          <w:rtl w:val="0"/>
        </w:rPr>
        <w:t xml:space="preserve"> No </w:t>
      </w:r>
    </w:p>
    <w:p w:rsidR="00000000" w:rsidDel="00000000" w:rsidP="00000000" w:rsidRDefault="00000000" w:rsidRPr="00000000" w14:paraId="00000010">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Resumen</w:t>
      </w:r>
    </w:p>
    <w:p w:rsidR="00000000" w:rsidDel="00000000" w:rsidP="00000000" w:rsidRDefault="00000000" w:rsidRPr="00000000" w14:paraId="00000011">
      <w:pPr>
        <w:widowControl w:val="0"/>
        <w:spacing w:after="283" w:line="336" w:lineRule="auto"/>
        <w:rPr>
          <w:sz w:val="24"/>
          <w:szCs w:val="24"/>
        </w:rPr>
      </w:pPr>
      <w:r w:rsidDel="00000000" w:rsidR="00000000" w:rsidRPr="00000000">
        <w:rPr>
          <w:sz w:val="24"/>
          <w:szCs w:val="24"/>
          <w:rtl w:val="0"/>
        </w:rPr>
        <w:t xml:space="preserve">Varios investigados eran acusados de estafa y de blanquear capitales supuestamente procedentes de operaciones de </w:t>
      </w:r>
      <w:r w:rsidDel="00000000" w:rsidR="00000000" w:rsidRPr="00000000">
        <w:rPr>
          <w:i w:val="1"/>
          <w:sz w:val="24"/>
          <w:szCs w:val="24"/>
          <w:rtl w:val="0"/>
        </w:rPr>
        <w:t xml:space="preserve">phishing</w:t>
      </w:r>
      <w:r w:rsidDel="00000000" w:rsidR="00000000" w:rsidRPr="00000000">
        <w:rPr>
          <w:sz w:val="24"/>
          <w:szCs w:val="24"/>
          <w:rtl w:val="0"/>
        </w:rPr>
        <w:t xml:space="preserve">. El Juzgado de Instrucción n.º 1 de Jaén dictó auto de continuación del procedimiento abreviado. Contra dicha resolución se interpuso recurso de apelación. La Audiencia Provincial de Jaén, mediante auto núm. 642/2024 de 29 de octubre de 2024, estimó el recurso y ordenó el sobreseimiento provisional y archivo de la causa, al no concurrir indicios suficientes de que los investigados conocieran el origen ilícito de los fondos.</w:t>
      </w:r>
    </w:p>
    <w:p w:rsidR="00000000" w:rsidDel="00000000" w:rsidP="00000000" w:rsidRDefault="00000000" w:rsidRPr="00000000" w14:paraId="0000001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Hechos (detallados)</w:t>
      </w:r>
    </w:p>
    <w:p w:rsidR="00000000" w:rsidDel="00000000" w:rsidP="00000000" w:rsidRDefault="00000000" w:rsidRPr="00000000" w14:paraId="00000013">
      <w:pPr>
        <w:widowControl w:val="0"/>
        <w:spacing w:after="283" w:line="336" w:lineRule="auto"/>
        <w:rPr>
          <w:sz w:val="24"/>
          <w:szCs w:val="24"/>
        </w:rPr>
      </w:pPr>
      <w:r w:rsidDel="00000000" w:rsidR="00000000" w:rsidRPr="00000000">
        <w:rPr>
          <w:sz w:val="24"/>
          <w:szCs w:val="24"/>
          <w:rtl w:val="0"/>
        </w:rPr>
        <w:t xml:space="preserve">La investigación se originó a raíz de diversas transferencias bancarias recibidas en cuentas a nombre de los acusados, procedentes de víctimas de estafas informáticas. La instrucción partía de que los titulares de las cuentas podían formar parte de un entramado delictivo destinado a vaciar cuentas ajenas y blanquear el producto. Sin embargo, durante las diligencias quedó acreditado que los acusados actuaron como “muleros” sin conocimiento del origen fraudulento. Las actuaciones se centraron en determinar si habían obrado dolosamente o con imprudencia grave.</w:t>
      </w:r>
    </w:p>
    <w:p w:rsidR="00000000" w:rsidDel="00000000" w:rsidP="00000000" w:rsidRDefault="00000000" w:rsidRPr="00000000" w14:paraId="00000014">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Estrategia de defensa</w:t>
      </w:r>
    </w:p>
    <w:p w:rsidR="00000000" w:rsidDel="00000000" w:rsidP="00000000" w:rsidRDefault="00000000" w:rsidRPr="00000000" w14:paraId="00000015">
      <w:pPr>
        <w:widowControl w:val="0"/>
        <w:spacing w:after="283" w:line="336" w:lineRule="auto"/>
        <w:rPr>
          <w:sz w:val="24"/>
          <w:szCs w:val="24"/>
        </w:rPr>
      </w:pPr>
      <w:r w:rsidDel="00000000" w:rsidR="00000000" w:rsidRPr="00000000">
        <w:rPr>
          <w:rFonts w:ascii="Arial Unicode MS" w:cs="Arial Unicode MS" w:eastAsia="Arial Unicode MS" w:hAnsi="Arial Unicode MS"/>
          <w:sz w:val="24"/>
          <w:szCs w:val="24"/>
          <w:rtl w:val="0"/>
        </w:rPr>
        <w:t xml:space="preserve">La defensa alegó la inexistencia de dolo al tratarse de personas ajenas a la primera fase de la estafa que simplemente recepcionaron transferencias y las remitieron a terceros. Se argumentó que esta conducta puede constituir a lo sumo blanqueo por imprudencia, pero no estafa ni blanqueo doloso, de acuerdo con la doctrina que diferencia el conocimiento de la procedencia ilícita de la mera recepción negligente 【968161724160863†L20-L39】. Además, se aportaron pruebas documentales de que los acusados no tuvieron beneficio económico.</w:t>
      </w:r>
    </w:p>
    <w:p w:rsidR="00000000" w:rsidDel="00000000" w:rsidP="00000000" w:rsidRDefault="00000000" w:rsidRPr="00000000" w14:paraId="00000016">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Pruebas clave</w:t>
      </w:r>
    </w:p>
    <w:p w:rsidR="00000000" w:rsidDel="00000000" w:rsidP="00000000" w:rsidRDefault="00000000" w:rsidRPr="00000000" w14:paraId="00000017">
      <w:pPr>
        <w:widowControl w:val="0"/>
        <w:spacing w:after="283" w:line="336" w:lineRule="auto"/>
        <w:rPr>
          <w:sz w:val="24"/>
          <w:szCs w:val="24"/>
        </w:rPr>
      </w:pPr>
      <w:r w:rsidDel="00000000" w:rsidR="00000000" w:rsidRPr="00000000">
        <w:rPr>
          <w:rFonts w:ascii="Arial Unicode MS" w:cs="Arial Unicode MS" w:eastAsia="Arial Unicode MS" w:hAnsi="Arial Unicode MS"/>
          <w:sz w:val="24"/>
          <w:szCs w:val="24"/>
          <w:rtl w:val="0"/>
        </w:rPr>
        <w:t xml:space="preserve">Los autos contaron con informes de movimientos bancarios, declaraciones de los investigados y de los perjudicados, así como periciales informáticas. No se aportó evidencia de comunicaciones entre los acusados y los autores de las estafas. La jurisprudencia ha señalado que la simple recepción de dinero sin comprobar su origen puede constituir blanqueo por imprudencia grave【53673610956887†L84-L110】, pero en este caso los magistrados concluyeron que tampoco concurría el elemento de imprudencia exigido.</w:t>
      </w:r>
    </w:p>
    <w:p w:rsidR="00000000" w:rsidDel="00000000" w:rsidP="00000000" w:rsidRDefault="00000000" w:rsidRPr="00000000" w14:paraId="00000018">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Resolución</w:t>
      </w:r>
    </w:p>
    <w:p w:rsidR="00000000" w:rsidDel="00000000" w:rsidP="00000000" w:rsidRDefault="00000000" w:rsidRPr="00000000" w14:paraId="00000019">
      <w:pPr>
        <w:widowControl w:val="0"/>
        <w:spacing w:after="283" w:line="336" w:lineRule="auto"/>
        <w:rPr>
          <w:sz w:val="24"/>
          <w:szCs w:val="24"/>
        </w:rPr>
      </w:pPr>
      <w:r w:rsidDel="00000000" w:rsidR="00000000" w:rsidRPr="00000000">
        <w:rPr>
          <w:sz w:val="24"/>
          <w:szCs w:val="24"/>
          <w:rtl w:val="0"/>
        </w:rPr>
        <w:t xml:space="preserve">La Sección Segunda de la Audiencia Provincial de Jaén acordó estimar los recursos de apelación interpuestos contra el auto del Juzgado de Instrucción n.º 1 y revocar dicha resolución. En consecuencia, ordenó el sobreseimiento provisional y el archivo de las actuaciones para todos los investigados. La sala destacó la falta de indicios de conocimiento sobre el origen ilícito de los fondos y la ausencia de beneficio económico.</w:t>
      </w:r>
    </w:p>
    <w:p w:rsidR="00000000" w:rsidDel="00000000" w:rsidP="00000000" w:rsidRDefault="00000000" w:rsidRPr="00000000" w14:paraId="0000001A">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Marco legal</w:t>
      </w:r>
    </w:p>
    <w:p w:rsidR="00000000" w:rsidDel="00000000" w:rsidP="00000000" w:rsidRDefault="00000000" w:rsidRPr="00000000" w14:paraId="0000001B">
      <w:pPr>
        <w:widowControl w:val="0"/>
        <w:spacing w:after="283" w:line="336" w:lineRule="auto"/>
        <w:rPr>
          <w:sz w:val="24"/>
          <w:szCs w:val="24"/>
        </w:rPr>
      </w:pPr>
      <w:r w:rsidDel="00000000" w:rsidR="00000000" w:rsidRPr="00000000">
        <w:rPr>
          <w:sz w:val="24"/>
          <w:szCs w:val="24"/>
          <w:rtl w:val="0"/>
        </w:rPr>
        <w:t xml:space="preserve">Se invocaron los artículos 248 (estafa) y 301 (blanqueo de capitales) del Código Penal, así como el artículo 641.1.º de la Ley de Enjuiciamiento Criminal, que permite el sobreseimiento cuando no existan indicios racionales de delito. La doctrina del Tribunal Supremo exige la prueba de la procedencia ilícita y del conocimiento por parte del receptor de los fondos.</w:t>
      </w:r>
    </w:p>
    <w:p w:rsidR="00000000" w:rsidDel="00000000" w:rsidP="00000000" w:rsidRDefault="00000000" w:rsidRPr="00000000" w14:paraId="0000001C">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Imágenes (anexos del expediente)</w:t>
      </w:r>
    </w:p>
    <w:p w:rsidR="00000000" w:rsidDel="00000000" w:rsidP="00000000" w:rsidRDefault="00000000" w:rsidRPr="00000000" w14:paraId="0000001D">
      <w:pPr>
        <w:widowControl w:val="0"/>
        <w:spacing w:after="283" w:line="336" w:lineRule="auto"/>
        <w:rPr>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Auto núm. 642/24 de la Audiencia Provincial de Jaén que estima los recursos y ordena el sobreseimiento y archivo.</w:t>
      </w:r>
      <w:r w:rsidDel="00000000" w:rsidR="00000000" w:rsidRPr="00000000">
        <w:rPr>
          <w:rtl w:val="0"/>
        </w:rPr>
      </w:r>
    </w:p>
    <w:p w:rsidR="00000000" w:rsidDel="00000000" w:rsidP="00000000" w:rsidRDefault="00000000" w:rsidRPr="00000000" w14:paraId="0000001E">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Enlaces y notas (citas)</w:t>
      </w:r>
    </w:p>
    <w:p w:rsidR="00000000" w:rsidDel="00000000" w:rsidP="00000000" w:rsidRDefault="00000000" w:rsidRPr="00000000" w14:paraId="0000001F">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Togas .biz – «Estafa y blanqueo de capitales: la figura de las mulas bancarias» – 7 de noviembre de 2022【968161724160863†L20-L39】. </w:t>
      </w:r>
    </w:p>
    <w:p w:rsidR="00000000" w:rsidDel="00000000" w:rsidP="00000000" w:rsidRDefault="00000000" w:rsidRPr="00000000" w14:paraId="00000020">
      <w:pPr>
        <w:widowControl w:val="0"/>
        <w:numPr>
          <w:ilvl w:val="0"/>
          <w:numId w:val="3"/>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Iustel – «Ocho personas condenadas por blanqueo de capitales por imprudencia grave» – 6 de marzo de 2023【53673610956887†L84-L110】. </w:t>
      </w:r>
    </w:p>
    <w:p w:rsidR="00000000" w:rsidDel="00000000" w:rsidP="00000000" w:rsidRDefault="00000000" w:rsidRPr="00000000" w14:paraId="00000021">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SEO y anclas (web)</w:t>
      </w:r>
    </w:p>
    <w:p w:rsidR="00000000" w:rsidDel="00000000" w:rsidP="00000000" w:rsidRDefault="00000000" w:rsidRPr="00000000" w14:paraId="00000022">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URL propuesta:</w:t>
      </w:r>
      <w:r w:rsidDel="00000000" w:rsidR="00000000" w:rsidRPr="00000000">
        <w:rPr>
          <w:sz w:val="24"/>
          <w:szCs w:val="24"/>
          <w:rtl w:val="0"/>
        </w:rPr>
        <w:t xml:space="preserve"> /casos/caso-estafa-blanqueo-jaen </w:t>
      </w:r>
    </w:p>
    <w:p w:rsidR="00000000" w:rsidDel="00000000" w:rsidP="00000000" w:rsidRDefault="00000000" w:rsidRPr="00000000" w14:paraId="00000023">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SEO title:</w:t>
      </w:r>
      <w:r w:rsidDel="00000000" w:rsidR="00000000" w:rsidRPr="00000000">
        <w:rPr>
          <w:sz w:val="24"/>
          <w:szCs w:val="24"/>
          <w:rtl w:val="0"/>
        </w:rPr>
        <w:t xml:space="preserve"> Audiencia de Jaén archiva causa por estafa y blanqueo – se estima recurso </w:t>
      </w:r>
    </w:p>
    <w:p w:rsidR="00000000" w:rsidDel="00000000" w:rsidP="00000000" w:rsidRDefault="00000000" w:rsidRPr="00000000" w14:paraId="00000024">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Meta description:</w:t>
      </w:r>
      <w:r w:rsidDel="00000000" w:rsidR="00000000" w:rsidRPr="00000000">
        <w:rPr>
          <w:sz w:val="24"/>
          <w:szCs w:val="24"/>
          <w:rtl w:val="0"/>
        </w:rPr>
        <w:t xml:space="preserve"> La Audiencia Provincial de Jaén estima el recurso de apelación y ordena el archivo de la causa por estafa y blanqueo de capitales por falta de indicios. </w:t>
      </w:r>
    </w:p>
    <w:p w:rsidR="00000000" w:rsidDel="00000000" w:rsidP="00000000" w:rsidRDefault="00000000" w:rsidRPr="00000000" w14:paraId="00000025">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Frases clave (SEO):</w:t>
      </w:r>
      <w:r w:rsidDel="00000000" w:rsidR="00000000" w:rsidRPr="00000000">
        <w:rPr>
          <w:sz w:val="24"/>
          <w:szCs w:val="24"/>
          <w:rtl w:val="0"/>
        </w:rPr>
        <w:t xml:space="preserve"> estafa y blanqueo Jaén, auto 642/2024, sobreseimiento, recurso de apelación </w:t>
      </w:r>
    </w:p>
    <w:p w:rsidR="00000000" w:rsidDel="00000000" w:rsidP="00000000" w:rsidRDefault="00000000" w:rsidRPr="00000000" w14:paraId="00000026">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Anclas:</w:t>
      </w:r>
      <w:r w:rsidDel="00000000" w:rsidR="00000000" w:rsidRPr="00000000">
        <w:rPr>
          <w:sz w:val="24"/>
          <w:szCs w:val="24"/>
          <w:rtl w:val="0"/>
        </w:rPr>
        <w:t xml:space="preserve"> #caso-estafa-blanqueo-resumen, #hechos, #estrategia, #pruebas, #resolucion, #prensa </w:t>
      </w:r>
    </w:p>
    <w:p w:rsidR="00000000" w:rsidDel="00000000" w:rsidP="00000000" w:rsidRDefault="00000000" w:rsidRPr="00000000" w14:paraId="00000027">
      <w:pPr>
        <w:widowControl w:val="0"/>
        <w:numPr>
          <w:ilvl w:val="0"/>
          <w:numId w:val="2"/>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Tags:</w:t>
      </w:r>
      <w:r w:rsidDel="00000000" w:rsidR="00000000" w:rsidRPr="00000000">
        <w:rPr>
          <w:sz w:val="24"/>
          <w:szCs w:val="24"/>
          <w:rtl w:val="0"/>
        </w:rPr>
        <w:t xml:space="preserve"> Blanqueo, Estafa, Jaén, Audiencia Provincial, 2024 </w:t>
      </w:r>
    </w:p>
    <w:p w:rsidR="00000000" w:rsidDel="00000000" w:rsidP="00000000" w:rsidRDefault="00000000" w:rsidRPr="00000000" w14:paraId="00000028">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Nota de verificación</w:t>
      </w:r>
    </w:p>
    <w:p w:rsidR="00000000" w:rsidDel="00000000" w:rsidP="00000000" w:rsidRDefault="00000000" w:rsidRPr="00000000" w14:paraId="00000029">
      <w:pPr>
        <w:widowControl w:val="0"/>
        <w:spacing w:after="283" w:line="336" w:lineRule="auto"/>
        <w:rPr>
          <w:sz w:val="24"/>
          <w:szCs w:val="24"/>
        </w:rPr>
      </w:pPr>
      <w:r w:rsidDel="00000000" w:rsidR="00000000" w:rsidRPr="00000000">
        <w:rPr>
          <w:sz w:val="24"/>
          <w:szCs w:val="24"/>
          <w:rtl w:val="0"/>
        </w:rPr>
        <w:t xml:space="preserve">La resolución se extrae del auto incorporado en el anexo. La explicación sobre la figura de las “mulas” bancarias y la necesidad de conocer el origen ilícito proviene de la doctrina citada.</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3">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