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widowControl w:val="0"/>
        <w:spacing w:after="283" w:before="240" w:line="336" w:lineRule="auto"/>
        <w:rPr>
          <w:rFonts w:ascii="Liberation Sans" w:cs="Liberation Sans" w:eastAsia="Liberation Sans" w:hAnsi="Liberation Sans"/>
          <w:b w:val="1"/>
          <w:color w:val="003366"/>
          <w:sz w:val="48"/>
          <w:szCs w:val="48"/>
        </w:rPr>
      </w:pPr>
      <w:r w:rsidDel="00000000" w:rsidR="00000000" w:rsidRPr="00000000">
        <w:rPr>
          <w:rFonts w:ascii="Liberation Sans" w:cs="Liberation Sans" w:eastAsia="Liberation Sans" w:hAnsi="Liberation Sans"/>
          <w:b w:val="1"/>
          <w:color w:val="003366"/>
          <w:sz w:val="48"/>
          <w:szCs w:val="48"/>
          <w:rtl w:val="0"/>
        </w:rPr>
        <w:t xml:space="preserve">ABSOLUCIÓN EN CAUSA POR DELITO DE RESISTENCIA A LA AUTORIDAD</w:t>
      </w:r>
    </w:p>
    <w:p w:rsidR="00000000" w:rsidDel="00000000" w:rsidP="00000000" w:rsidRDefault="00000000" w:rsidRPr="00000000" w14:paraId="0000000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Ficha rápida</w:t>
      </w:r>
    </w:p>
    <w:p w:rsidR="00000000" w:rsidDel="00000000" w:rsidP="00000000" w:rsidRDefault="00000000" w:rsidRPr="00000000" w14:paraId="00000003">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Categoría:</w:t>
      </w:r>
      <w:r w:rsidDel="00000000" w:rsidR="00000000" w:rsidRPr="00000000">
        <w:rPr>
          <w:sz w:val="24"/>
          <w:szCs w:val="24"/>
          <w:rtl w:val="0"/>
        </w:rPr>
        <w:t xml:space="preserve"> Delitos contra el orden público </w:t>
      </w:r>
    </w:p>
    <w:p w:rsidR="00000000" w:rsidDel="00000000" w:rsidP="00000000" w:rsidRDefault="00000000" w:rsidRPr="00000000" w14:paraId="00000004">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Delito principal:</w:t>
      </w:r>
      <w:r w:rsidDel="00000000" w:rsidR="00000000" w:rsidRPr="00000000">
        <w:rPr>
          <w:sz w:val="24"/>
          <w:szCs w:val="24"/>
          <w:rtl w:val="0"/>
        </w:rPr>
        <w:t xml:space="preserve"> Resistencia o desobediencia a la autoridad (art. 556 CP) </w:t>
      </w:r>
    </w:p>
    <w:p w:rsidR="00000000" w:rsidDel="00000000" w:rsidP="00000000" w:rsidRDefault="00000000" w:rsidRPr="00000000" w14:paraId="00000005">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Parte:</w:t>
      </w:r>
      <w:r w:rsidDel="00000000" w:rsidR="00000000" w:rsidRPr="00000000">
        <w:rPr>
          <w:sz w:val="24"/>
          <w:szCs w:val="24"/>
          <w:rtl w:val="0"/>
        </w:rPr>
        <w:t xml:space="preserve"> Defensa </w:t>
      </w:r>
    </w:p>
    <w:p w:rsidR="00000000" w:rsidDel="00000000" w:rsidP="00000000" w:rsidRDefault="00000000" w:rsidRPr="00000000" w14:paraId="00000006">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Órgano:</w:t>
      </w:r>
      <w:r w:rsidDel="00000000" w:rsidR="00000000" w:rsidRPr="00000000">
        <w:rPr>
          <w:sz w:val="24"/>
          <w:szCs w:val="24"/>
          <w:rtl w:val="0"/>
        </w:rPr>
        <w:t xml:space="preserve"> Juzgado de lo Penal n.º 25 de Madrid </w:t>
      </w:r>
    </w:p>
    <w:p w:rsidR="00000000" w:rsidDel="00000000" w:rsidP="00000000" w:rsidRDefault="00000000" w:rsidRPr="00000000" w14:paraId="00000007">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Sección:</w:t>
      </w:r>
      <w:r w:rsidDel="00000000" w:rsidR="00000000" w:rsidRPr="00000000">
        <w:rPr>
          <w:sz w:val="24"/>
          <w:szCs w:val="24"/>
          <w:rtl w:val="0"/>
        </w:rPr>
        <w:t xml:space="preserve"> Penal </w:t>
      </w:r>
    </w:p>
    <w:p w:rsidR="00000000" w:rsidDel="00000000" w:rsidP="00000000" w:rsidRDefault="00000000" w:rsidRPr="00000000" w14:paraId="00000008">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Localidad:</w:t>
      </w:r>
      <w:r w:rsidDel="00000000" w:rsidR="00000000" w:rsidRPr="00000000">
        <w:rPr>
          <w:sz w:val="24"/>
          <w:szCs w:val="24"/>
          <w:rtl w:val="0"/>
        </w:rPr>
        <w:t xml:space="preserve"> Madrid </w:t>
      </w:r>
    </w:p>
    <w:p w:rsidR="00000000" w:rsidDel="00000000" w:rsidP="00000000" w:rsidRDefault="00000000" w:rsidRPr="00000000" w14:paraId="00000009">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Fase procesal:</w:t>
      </w:r>
      <w:r w:rsidDel="00000000" w:rsidR="00000000" w:rsidRPr="00000000">
        <w:rPr>
          <w:sz w:val="24"/>
          <w:szCs w:val="24"/>
          <w:rtl w:val="0"/>
        </w:rPr>
        <w:t xml:space="preserve"> Juicio oral (sentencia) </w:t>
      </w:r>
    </w:p>
    <w:p w:rsidR="00000000" w:rsidDel="00000000" w:rsidP="00000000" w:rsidRDefault="00000000" w:rsidRPr="00000000" w14:paraId="0000000A">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Tipo de resolución:</w:t>
      </w:r>
      <w:r w:rsidDel="00000000" w:rsidR="00000000" w:rsidRPr="00000000">
        <w:rPr>
          <w:sz w:val="24"/>
          <w:szCs w:val="24"/>
          <w:rtl w:val="0"/>
        </w:rPr>
        <w:t xml:space="preserve"> Sentencia absolutoria </w:t>
      </w:r>
    </w:p>
    <w:p w:rsidR="00000000" w:rsidDel="00000000" w:rsidP="00000000" w:rsidRDefault="00000000" w:rsidRPr="00000000" w14:paraId="0000000B">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Favorabilidad:</w:t>
      </w:r>
      <w:r w:rsidDel="00000000" w:rsidR="00000000" w:rsidRPr="00000000">
        <w:rPr>
          <w:sz w:val="24"/>
          <w:szCs w:val="24"/>
          <w:rtl w:val="0"/>
        </w:rPr>
        <w:t xml:space="preserve"> Favorable </w:t>
      </w:r>
    </w:p>
    <w:p w:rsidR="00000000" w:rsidDel="00000000" w:rsidP="00000000" w:rsidRDefault="00000000" w:rsidRPr="00000000" w14:paraId="0000000C">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Fecha:</w:t>
      </w:r>
      <w:r w:rsidDel="00000000" w:rsidR="00000000" w:rsidRPr="00000000">
        <w:rPr>
          <w:sz w:val="24"/>
          <w:szCs w:val="24"/>
          <w:rtl w:val="0"/>
        </w:rPr>
        <w:t xml:space="preserve"> 11/09/2024 (sentencia núm. 336/2024) </w:t>
      </w:r>
    </w:p>
    <w:p w:rsidR="00000000" w:rsidDel="00000000" w:rsidP="00000000" w:rsidRDefault="00000000" w:rsidRPr="00000000" w14:paraId="0000000D">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Año:</w:t>
      </w:r>
      <w:r w:rsidDel="00000000" w:rsidR="00000000" w:rsidRPr="00000000">
        <w:rPr>
          <w:sz w:val="24"/>
          <w:szCs w:val="24"/>
          <w:rtl w:val="0"/>
        </w:rPr>
        <w:t xml:space="preserve"> 2024 </w:t>
      </w:r>
    </w:p>
    <w:p w:rsidR="00000000" w:rsidDel="00000000" w:rsidP="00000000" w:rsidRDefault="00000000" w:rsidRPr="00000000" w14:paraId="0000000E">
      <w:pPr>
        <w:widowControl w:val="0"/>
        <w:numPr>
          <w:ilvl w:val="0"/>
          <w:numId w:val="1"/>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Medidas cautelares:</w:t>
      </w:r>
      <w:r w:rsidDel="00000000" w:rsidR="00000000" w:rsidRPr="00000000">
        <w:rPr>
          <w:sz w:val="24"/>
          <w:szCs w:val="24"/>
          <w:rtl w:val="0"/>
        </w:rPr>
        <w:t xml:space="preserve"> Ninguna </w:t>
      </w:r>
    </w:p>
    <w:p w:rsidR="00000000" w:rsidDel="00000000" w:rsidP="00000000" w:rsidRDefault="00000000" w:rsidRPr="00000000" w14:paraId="0000000F">
      <w:pPr>
        <w:widowControl w:val="0"/>
        <w:numPr>
          <w:ilvl w:val="0"/>
          <w:numId w:val="1"/>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Popularidad:</w:t>
      </w:r>
      <w:r w:rsidDel="00000000" w:rsidR="00000000" w:rsidRPr="00000000">
        <w:rPr>
          <w:sz w:val="24"/>
          <w:szCs w:val="24"/>
          <w:rtl w:val="0"/>
        </w:rPr>
        <w:t xml:space="preserve"> No </w:t>
      </w:r>
    </w:p>
    <w:p w:rsidR="00000000" w:rsidDel="00000000" w:rsidP="00000000" w:rsidRDefault="00000000" w:rsidRPr="00000000" w14:paraId="00000010">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Resumen</w:t>
      </w:r>
    </w:p>
    <w:p w:rsidR="00000000" w:rsidDel="00000000" w:rsidP="00000000" w:rsidRDefault="00000000" w:rsidRPr="00000000" w14:paraId="00000011">
      <w:pPr>
        <w:widowControl w:val="0"/>
        <w:spacing w:after="283" w:line="336" w:lineRule="auto"/>
        <w:rPr>
          <w:sz w:val="24"/>
          <w:szCs w:val="24"/>
        </w:rPr>
      </w:pPr>
      <w:r w:rsidDel="00000000" w:rsidR="00000000" w:rsidRPr="00000000">
        <w:rPr>
          <w:sz w:val="24"/>
          <w:szCs w:val="24"/>
          <w:rtl w:val="0"/>
        </w:rPr>
        <w:t xml:space="preserve">Nuestro cliente fue acusado de un delito de resistencia a agentes de la autoridad cuando intentó impedir la entrada de la policía en el domicilio donde se encontraba. El Juzgado de lo Penal n.º 25 de Madrid, mediante sentencia núm. 336/2024 de 11 de septiembre de 2024, le absolvió de todos los cargos al considerar que no se demostró conducta violenta ni desobediencia grave y que la actuación policial fue desproporcionada.</w:t>
      </w:r>
    </w:p>
    <w:p w:rsidR="00000000" w:rsidDel="00000000" w:rsidP="00000000" w:rsidRDefault="00000000" w:rsidRPr="00000000" w14:paraId="00000012">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Hechos (detallados)</w:t>
      </w:r>
    </w:p>
    <w:p w:rsidR="00000000" w:rsidDel="00000000" w:rsidP="00000000" w:rsidRDefault="00000000" w:rsidRPr="00000000" w14:paraId="00000013">
      <w:pPr>
        <w:widowControl w:val="0"/>
        <w:spacing w:after="283" w:line="336" w:lineRule="auto"/>
        <w:rPr>
          <w:sz w:val="24"/>
          <w:szCs w:val="24"/>
        </w:rPr>
      </w:pPr>
      <w:r w:rsidDel="00000000" w:rsidR="00000000" w:rsidRPr="00000000">
        <w:rPr>
          <w:sz w:val="24"/>
          <w:szCs w:val="24"/>
          <w:rtl w:val="0"/>
        </w:rPr>
        <w:t xml:space="preserve">Los hechos se remontan a una actuación policial en la que los agentes acudieron al domicilio del acusado tras recibir una denuncia por ruidos. El procesado se negó a permitir la entrada de los agentes sin orden judicial y se produjo un forcejeo mínimo. Durante el juicio se constató que los agentes no recordaban con exactitud lo sucedido y que no existían grabaciones del supuesto enfrentamiento. Tampoco se acreditaron lesiones en los agentes. La acusación se basaba únicamente en una versión contradictoria de los policías.</w:t>
      </w:r>
    </w:p>
    <w:p w:rsidR="00000000" w:rsidDel="00000000" w:rsidP="00000000" w:rsidRDefault="00000000" w:rsidRPr="00000000" w14:paraId="00000014">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Estrategia de defensa</w:t>
      </w:r>
    </w:p>
    <w:p w:rsidR="00000000" w:rsidDel="00000000" w:rsidP="00000000" w:rsidRDefault="00000000" w:rsidRPr="00000000" w14:paraId="00000015">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invocó el derecho a la inviolabilidad del domicilio (art. 18 CE) y el derecho a no declarar contra uno mismo. La defensa alegó que la entrada en el domicilio carecía de flagrancia y que el acusado ejerció su derecho a oponerse sin emplear violencia. Además, se solicitó la absolución por falta de prueba de cargo, apoyándose en precedentes en los que la Audiencia Provincial anuló condenas por resistencia cuando los agentes no recordaban los hechos【614676779751785†L136-L172】. También se citó la jurisprudencia del Tribunal Supremo que anuló una condena similar al considerar que el ciudadano podía resistirse ante una entrada ilegal【510233217758950†L88-L137】.</w:t>
      </w:r>
    </w:p>
    <w:p w:rsidR="00000000" w:rsidDel="00000000" w:rsidP="00000000" w:rsidRDefault="00000000" w:rsidRPr="00000000" w14:paraId="00000016">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Pruebas clave</w:t>
      </w:r>
    </w:p>
    <w:p w:rsidR="00000000" w:rsidDel="00000000" w:rsidP="00000000" w:rsidRDefault="00000000" w:rsidRPr="00000000" w14:paraId="00000017">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En el juicio se practicaron las declaraciones de los agentes intervinientes y del acusado. No se aportó vídeo ni testigos independientes. La defensa puso de manifiesto las contradicciones entre los agentes y la ausencia de lesiones. La Audiencia Provincial ha reiterado que no basta la declaración policial si no está corroborada por otros elementos【614676779751785†L136-L172】.</w:t>
      </w:r>
    </w:p>
    <w:p w:rsidR="00000000" w:rsidDel="00000000" w:rsidP="00000000" w:rsidRDefault="00000000" w:rsidRPr="00000000" w14:paraId="0000001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Resolución</w:t>
      </w:r>
    </w:p>
    <w:p w:rsidR="00000000" w:rsidDel="00000000" w:rsidP="00000000" w:rsidRDefault="00000000" w:rsidRPr="00000000" w14:paraId="00000019">
      <w:pPr>
        <w:widowControl w:val="0"/>
        <w:spacing w:after="283" w:line="336" w:lineRule="auto"/>
        <w:rPr>
          <w:sz w:val="24"/>
          <w:szCs w:val="24"/>
        </w:rPr>
      </w:pPr>
      <w:r w:rsidDel="00000000" w:rsidR="00000000" w:rsidRPr="00000000">
        <w:rPr>
          <w:sz w:val="24"/>
          <w:szCs w:val="24"/>
          <w:rtl w:val="0"/>
        </w:rPr>
        <w:t xml:space="preserve">La magistrada del Juzgado de lo Penal n.º 25 dictó sentencia absolutoria. Consideró que la prueba practicada no permitía superar la presunción de inocencia y que el derecho del acusado a impedir la entrada en su domicilio sin autorización estaba amparado por la Constitución. La sentencia ordenó el pago de costas de oficio y declaró firme la resolución.</w:t>
      </w:r>
    </w:p>
    <w:p w:rsidR="00000000" w:rsidDel="00000000" w:rsidP="00000000" w:rsidRDefault="00000000" w:rsidRPr="00000000" w14:paraId="0000001A">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Marco legal</w:t>
      </w:r>
    </w:p>
    <w:p w:rsidR="00000000" w:rsidDel="00000000" w:rsidP="00000000" w:rsidRDefault="00000000" w:rsidRPr="00000000" w14:paraId="0000001B">
      <w:pPr>
        <w:widowControl w:val="0"/>
        <w:spacing w:after="283" w:line="336" w:lineRule="auto"/>
        <w:rPr>
          <w:sz w:val="24"/>
          <w:szCs w:val="24"/>
        </w:rPr>
      </w:pPr>
      <w:r w:rsidDel="00000000" w:rsidR="00000000" w:rsidRPr="00000000">
        <w:rPr>
          <w:rFonts w:ascii="Arial Unicode MS" w:cs="Arial Unicode MS" w:eastAsia="Arial Unicode MS" w:hAnsi="Arial Unicode MS"/>
          <w:sz w:val="24"/>
          <w:szCs w:val="24"/>
          <w:rtl w:val="0"/>
        </w:rPr>
        <w:t xml:space="preserve">Se aplican los artículos 556 y 16 del Código Penal y el artículo 18.2 CE sobre la inviolabilidad del domicilio. La jurisprudencia del Tribunal Supremo ha señalado que ante una entrada ilegal en domicilio el ciudadano puede oponerse sin incurrir en delito de resistencia【510233217758950†L88-L137】.</w:t>
      </w:r>
    </w:p>
    <w:p w:rsidR="00000000" w:rsidDel="00000000" w:rsidP="00000000" w:rsidRDefault="00000000" w:rsidRPr="00000000" w14:paraId="0000001C">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Imágenes (anexos del expediente)</w:t>
      </w:r>
    </w:p>
    <w:p w:rsidR="00000000" w:rsidDel="00000000" w:rsidP="00000000" w:rsidRDefault="00000000" w:rsidRPr="00000000" w14:paraId="0000001D">
      <w:pPr>
        <w:widowControl w:val="0"/>
        <w:spacing w:after="283" w:line="336" w:lineRule="auto"/>
        <w:rPr>
          <w:sz w:val="24"/>
          <w:szCs w:val="24"/>
        </w:rPr>
      </w:pPr>
      <w:r w:rsidDel="00000000" w:rsidR="00000000" w:rsidRPr="00000000">
        <w:rPr>
          <w:sz w:val="24"/>
          <w:szCs w:val="24"/>
          <w:rtl w:val="0"/>
        </w:rPr>
        <w:br w:type="textWrapping"/>
      </w:r>
      <w:r w:rsidDel="00000000" w:rsidR="00000000" w:rsidRPr="00000000">
        <w:rPr>
          <w:i w:val="1"/>
          <w:sz w:val="24"/>
          <w:szCs w:val="24"/>
          <w:rtl w:val="0"/>
        </w:rPr>
        <w:t xml:space="preserve">Sentencia núm. 336/2024 del Juzgado de lo Penal n.º 25 de Madrid que absuelve al acusado de resistencia a la autoridad.</w:t>
      </w:r>
      <w:r w:rsidDel="00000000" w:rsidR="00000000" w:rsidRPr="00000000">
        <w:rPr>
          <w:rtl w:val="0"/>
        </w:rPr>
      </w:r>
    </w:p>
    <w:p w:rsidR="00000000" w:rsidDel="00000000" w:rsidP="00000000" w:rsidRDefault="00000000" w:rsidRPr="00000000" w14:paraId="0000001E">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Enlaces y notas (citas)</w:t>
      </w:r>
    </w:p>
    <w:p w:rsidR="00000000" w:rsidDel="00000000" w:rsidP="00000000" w:rsidRDefault="00000000" w:rsidRPr="00000000" w14:paraId="0000001F">
      <w:pPr>
        <w:widowControl w:val="0"/>
        <w:numPr>
          <w:ilvl w:val="0"/>
          <w:numId w:val="3"/>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Ospina Abogados – «Apelación: revocada condena por resistencia y lesiones por falta de pruebas» – 15 de abril de 2023【614676779751785†L136-L172】. </w:t>
      </w:r>
    </w:p>
    <w:p w:rsidR="00000000" w:rsidDel="00000000" w:rsidP="00000000" w:rsidRDefault="00000000" w:rsidRPr="00000000" w14:paraId="00000020">
      <w:pPr>
        <w:widowControl w:val="0"/>
        <w:numPr>
          <w:ilvl w:val="0"/>
          <w:numId w:val="3"/>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Infobae – «El Supremo anula una condena por resistencia porque la entrada policial no fue legal» – 11 de enero de 2024【510233217758950†L88-L137】. </w:t>
      </w:r>
    </w:p>
    <w:p w:rsidR="00000000" w:rsidDel="00000000" w:rsidP="00000000" w:rsidRDefault="00000000" w:rsidRPr="00000000" w14:paraId="00000021">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SEO y anclas (web)</w:t>
      </w:r>
    </w:p>
    <w:p w:rsidR="00000000" w:rsidDel="00000000" w:rsidP="00000000" w:rsidRDefault="00000000" w:rsidRPr="00000000" w14:paraId="00000022">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URL propuesta:</w:t>
      </w:r>
      <w:r w:rsidDel="00000000" w:rsidR="00000000" w:rsidRPr="00000000">
        <w:rPr>
          <w:sz w:val="24"/>
          <w:szCs w:val="24"/>
          <w:rtl w:val="0"/>
        </w:rPr>
        <w:t xml:space="preserve"> /casos/absolucion-resistencia-autoridad </w:t>
      </w:r>
    </w:p>
    <w:p w:rsidR="00000000" w:rsidDel="00000000" w:rsidP="00000000" w:rsidRDefault="00000000" w:rsidRPr="00000000" w14:paraId="00000023">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SEO title:</w:t>
      </w:r>
      <w:r w:rsidDel="00000000" w:rsidR="00000000" w:rsidRPr="00000000">
        <w:rPr>
          <w:sz w:val="24"/>
          <w:szCs w:val="24"/>
          <w:rtl w:val="0"/>
        </w:rPr>
        <w:t xml:space="preserve"> Absolución por resistencia a la autoridad – sentencia 336/2024 </w:t>
      </w:r>
    </w:p>
    <w:p w:rsidR="00000000" w:rsidDel="00000000" w:rsidP="00000000" w:rsidRDefault="00000000" w:rsidRPr="00000000" w14:paraId="00000024">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Meta description:</w:t>
      </w:r>
      <w:r w:rsidDel="00000000" w:rsidR="00000000" w:rsidRPr="00000000">
        <w:rPr>
          <w:sz w:val="24"/>
          <w:szCs w:val="24"/>
          <w:rtl w:val="0"/>
        </w:rPr>
        <w:t xml:space="preserve"> El Juzgado de lo Penal 25 de Madrid absuelve a un acusado de resistencia a la autoridad al considerar que ejerció su derecho a impedir una entrada ilegal. </w:t>
      </w:r>
    </w:p>
    <w:p w:rsidR="00000000" w:rsidDel="00000000" w:rsidP="00000000" w:rsidRDefault="00000000" w:rsidRPr="00000000" w14:paraId="00000025">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Frases clave (SEO):</w:t>
      </w:r>
      <w:r w:rsidDel="00000000" w:rsidR="00000000" w:rsidRPr="00000000">
        <w:rPr>
          <w:sz w:val="24"/>
          <w:szCs w:val="24"/>
          <w:rtl w:val="0"/>
        </w:rPr>
        <w:t xml:space="preserve"> absolución resistencia autoridad, inviolabilidad del domicilio, sentencia 336/2024, presunción de inocencia </w:t>
      </w:r>
    </w:p>
    <w:p w:rsidR="00000000" w:rsidDel="00000000" w:rsidP="00000000" w:rsidRDefault="00000000" w:rsidRPr="00000000" w14:paraId="00000026">
      <w:pPr>
        <w:widowControl w:val="0"/>
        <w:numPr>
          <w:ilvl w:val="0"/>
          <w:numId w:val="2"/>
        </w:numPr>
        <w:tabs>
          <w:tab w:val="left" w:leader="none" w:pos="709"/>
        </w:tabs>
        <w:spacing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Anclas:</w:t>
      </w:r>
      <w:r w:rsidDel="00000000" w:rsidR="00000000" w:rsidRPr="00000000">
        <w:rPr>
          <w:sz w:val="24"/>
          <w:szCs w:val="24"/>
          <w:rtl w:val="0"/>
        </w:rPr>
        <w:t xml:space="preserve"> #resistencia-resumen, #hechos, #estrategia, #pruebas, #resolucion, #prensa </w:t>
      </w:r>
    </w:p>
    <w:p w:rsidR="00000000" w:rsidDel="00000000" w:rsidP="00000000" w:rsidRDefault="00000000" w:rsidRPr="00000000" w14:paraId="00000027">
      <w:pPr>
        <w:widowControl w:val="0"/>
        <w:numPr>
          <w:ilvl w:val="0"/>
          <w:numId w:val="2"/>
        </w:numPr>
        <w:tabs>
          <w:tab w:val="left" w:leader="none" w:pos="709"/>
        </w:tabs>
        <w:spacing w:after="283" w:line="336" w:lineRule="auto"/>
        <w:ind w:left="709" w:hanging="283"/>
        <w:rPr>
          <w:rFonts w:ascii="Noto Sans Symbols" w:cs="Noto Sans Symbols" w:eastAsia="Noto Sans Symbols" w:hAnsi="Noto Sans Symbols"/>
          <w:sz w:val="24"/>
          <w:szCs w:val="24"/>
        </w:rPr>
      </w:pPr>
      <w:r w:rsidDel="00000000" w:rsidR="00000000" w:rsidRPr="00000000">
        <w:rPr>
          <w:b w:val="1"/>
          <w:sz w:val="24"/>
          <w:szCs w:val="24"/>
          <w:rtl w:val="0"/>
        </w:rPr>
        <w:t xml:space="preserve">Tags:</w:t>
      </w:r>
      <w:r w:rsidDel="00000000" w:rsidR="00000000" w:rsidRPr="00000000">
        <w:rPr>
          <w:sz w:val="24"/>
          <w:szCs w:val="24"/>
          <w:rtl w:val="0"/>
        </w:rPr>
        <w:t xml:space="preserve"> Resistencia a la autoridad, Absolución, Madrid, 2024 </w:t>
      </w:r>
    </w:p>
    <w:p w:rsidR="00000000" w:rsidDel="00000000" w:rsidP="00000000" w:rsidRDefault="00000000" w:rsidRPr="00000000" w14:paraId="00000028">
      <w:pPr>
        <w:pStyle w:val="Heading2"/>
        <w:keepLines w:val="0"/>
        <w:widowControl w:val="0"/>
        <w:spacing w:before="200" w:line="336" w:lineRule="auto"/>
        <w:rPr>
          <w:rFonts w:ascii="Liberation Serif" w:cs="Liberation Serif" w:eastAsia="Liberation Serif" w:hAnsi="Liberation Serif"/>
          <w:b w:val="1"/>
          <w:color w:val="003366"/>
          <w:sz w:val="36"/>
          <w:szCs w:val="36"/>
        </w:rPr>
      </w:pPr>
      <w:r w:rsidDel="00000000" w:rsidR="00000000" w:rsidRPr="00000000">
        <w:rPr>
          <w:rFonts w:ascii="Liberation Serif" w:cs="Liberation Serif" w:eastAsia="Liberation Serif" w:hAnsi="Liberation Serif"/>
          <w:b w:val="1"/>
          <w:color w:val="003366"/>
          <w:sz w:val="36"/>
          <w:szCs w:val="36"/>
          <w:rtl w:val="0"/>
        </w:rPr>
        <w:t xml:space="preserve">Nota de verificación</w:t>
      </w:r>
    </w:p>
    <w:p w:rsidR="00000000" w:rsidDel="00000000" w:rsidP="00000000" w:rsidRDefault="00000000" w:rsidRPr="00000000" w14:paraId="00000029">
      <w:pPr>
        <w:widowControl w:val="0"/>
        <w:spacing w:after="283" w:line="336" w:lineRule="auto"/>
        <w:rPr>
          <w:sz w:val="24"/>
          <w:szCs w:val="24"/>
        </w:rPr>
      </w:pPr>
      <w:r w:rsidDel="00000000" w:rsidR="00000000" w:rsidRPr="00000000">
        <w:rPr>
          <w:sz w:val="24"/>
          <w:szCs w:val="24"/>
          <w:rtl w:val="0"/>
        </w:rPr>
        <w:t xml:space="preserve">La sentencia anexada acredita la absolución y la fecha. Las citas doctrinales fundamentan la estrategia de defensa y la interpretación de los derechos constitucionales.</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iberation Sans"/>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2">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abstractNum w:abstractNumId="3">
    <w:lvl w:ilvl="0">
      <w:start w:val="1"/>
      <w:numFmt w:val="bullet"/>
      <w:lvlText w:val="●"/>
      <w:lvlJc w:val="left"/>
      <w:pPr>
        <w:ind w:left="709" w:hanging="282.9999999999999"/>
      </w:pPr>
      <w:rPr>
        <w:u w:val="none"/>
      </w:rPr>
    </w:lvl>
    <w:lvl w:ilvl="1">
      <w:start w:val="1"/>
      <w:numFmt w:val="bullet"/>
      <w:lvlText w:val="●"/>
      <w:lvlJc w:val="left"/>
      <w:pPr>
        <w:ind w:left="1418" w:hanging="282.9999999999998"/>
      </w:pPr>
      <w:rPr>
        <w:u w:val="none"/>
      </w:rPr>
    </w:lvl>
    <w:lvl w:ilvl="2">
      <w:start w:val="1"/>
      <w:numFmt w:val="bullet"/>
      <w:lvlText w:val="●"/>
      <w:lvlJc w:val="left"/>
      <w:pPr>
        <w:ind w:left="2127" w:hanging="283.0000000000002"/>
      </w:pPr>
      <w:rPr>
        <w:u w:val="none"/>
      </w:rPr>
    </w:lvl>
    <w:lvl w:ilvl="3">
      <w:start w:val="1"/>
      <w:numFmt w:val="bullet"/>
      <w:lvlText w:val="●"/>
      <w:lvlJc w:val="left"/>
      <w:pPr>
        <w:ind w:left="2836" w:hanging="283"/>
      </w:pPr>
      <w:rPr>
        <w:u w:val="none"/>
      </w:rPr>
    </w:lvl>
    <w:lvl w:ilvl="4">
      <w:start w:val="1"/>
      <w:numFmt w:val="bullet"/>
      <w:lvlText w:val="●"/>
      <w:lvlJc w:val="left"/>
      <w:pPr>
        <w:ind w:left="3545" w:hanging="283"/>
      </w:pPr>
      <w:rPr>
        <w:u w:val="none"/>
      </w:rPr>
    </w:lvl>
    <w:lvl w:ilvl="5">
      <w:start w:val="1"/>
      <w:numFmt w:val="bullet"/>
      <w:lvlText w:val="●"/>
      <w:lvlJc w:val="left"/>
      <w:pPr>
        <w:ind w:left="4254" w:hanging="283.00000000000045"/>
      </w:pPr>
      <w:rPr>
        <w:u w:val="none"/>
      </w:rPr>
    </w:lvl>
    <w:lvl w:ilvl="6">
      <w:start w:val="1"/>
      <w:numFmt w:val="bullet"/>
      <w:lvlText w:val="●"/>
      <w:lvlJc w:val="left"/>
      <w:pPr>
        <w:ind w:left="4963" w:hanging="283"/>
      </w:pPr>
      <w:rPr>
        <w:u w:val="none"/>
      </w:rPr>
    </w:lvl>
    <w:lvl w:ilvl="7">
      <w:start w:val="1"/>
      <w:numFmt w:val="bullet"/>
      <w:lvlText w:val="●"/>
      <w:lvlJc w:val="left"/>
      <w:pPr>
        <w:ind w:left="5672" w:hanging="282.9999999999991"/>
      </w:pPr>
      <w:rPr>
        <w:u w:val="none"/>
      </w:rPr>
    </w:lvl>
    <w:lvl w:ilvl="8">
      <w:start w:val="1"/>
      <w:numFmt w:val="bullet"/>
      <w:lvlText w:val="●"/>
      <w:lvlJc w:val="left"/>
      <w:pPr>
        <w:ind w:left="6381" w:hanging="282.9999999999991"/>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