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600" w:line="360" w:lineRule="auto"/>
        <w:rPr>
          <w:rFonts w:ascii="Liberation Sans" w:cs="Liberation Sans" w:eastAsia="Liberation Sans" w:hAnsi="Liberation Sans"/>
          <w:b w:val="1"/>
          <w:color w:val="003366"/>
          <w:sz w:val="33"/>
          <w:szCs w:val="33"/>
        </w:rPr>
      </w:pPr>
      <w:r w:rsidDel="00000000" w:rsidR="00000000" w:rsidRPr="00000000">
        <w:rPr>
          <w:rFonts w:ascii="Liberation Sans" w:cs="Liberation Sans" w:eastAsia="Liberation Sans" w:hAnsi="Liberation Sans"/>
          <w:b w:val="1"/>
          <w:color w:val="003366"/>
          <w:sz w:val="33"/>
          <w:szCs w:val="33"/>
          <w:rtl w:val="0"/>
        </w:rPr>
        <w:t xml:space="preserve">CASO AMENAZAS, COACCIONES Y EXTORSIÓN – SOBRESEIMIENTO PROVISIONAL</w:t>
      </w:r>
    </w:p>
    <w:p w:rsidR="00000000" w:rsidDel="00000000" w:rsidP="00000000" w:rsidRDefault="00000000" w:rsidRPr="00000000" w14:paraId="00000002">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Ficha rápida</w:t>
      </w:r>
    </w:p>
    <w:p w:rsidR="00000000" w:rsidDel="00000000" w:rsidP="00000000" w:rsidRDefault="00000000" w:rsidRPr="00000000" w14:paraId="00000003">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la libertad </w:t>
      </w:r>
    </w:p>
    <w:p w:rsidR="00000000" w:rsidDel="00000000" w:rsidP="00000000" w:rsidRDefault="00000000" w:rsidRPr="00000000" w14:paraId="00000004">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Amenazas, coacciones y presunta extorsión </w:t>
      </w:r>
    </w:p>
    <w:p w:rsidR="00000000" w:rsidDel="00000000" w:rsidP="00000000" w:rsidRDefault="00000000" w:rsidRPr="00000000" w14:paraId="00000005">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Instrucción nº 13 de Madrid </w:t>
      </w:r>
    </w:p>
    <w:p w:rsidR="00000000" w:rsidDel="00000000" w:rsidP="00000000" w:rsidRDefault="00000000" w:rsidRPr="00000000" w14:paraId="00000007">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No aplica </w:t>
      </w:r>
    </w:p>
    <w:p w:rsidR="00000000" w:rsidDel="00000000" w:rsidP="00000000" w:rsidRDefault="00000000" w:rsidRPr="00000000" w14:paraId="00000008">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Madrid </w:t>
      </w:r>
    </w:p>
    <w:p w:rsidR="00000000" w:rsidDel="00000000" w:rsidP="00000000" w:rsidRDefault="00000000" w:rsidRPr="00000000" w14:paraId="00000009">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Instrucción (diligencias previas) </w:t>
      </w:r>
    </w:p>
    <w:p w:rsidR="00000000" w:rsidDel="00000000" w:rsidP="00000000" w:rsidRDefault="00000000" w:rsidRPr="00000000" w14:paraId="0000000A">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Sobreseimiento provisional </w:t>
      </w:r>
    </w:p>
    <w:p w:rsidR="00000000" w:rsidDel="00000000" w:rsidP="00000000" w:rsidRDefault="00000000" w:rsidRPr="00000000" w14:paraId="0000000B">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5 de enero de 2024 </w:t>
      </w:r>
    </w:p>
    <w:p w:rsidR="00000000" w:rsidDel="00000000" w:rsidP="00000000" w:rsidRDefault="00000000" w:rsidRPr="00000000" w14:paraId="0000000D">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2024 </w:t>
      </w:r>
    </w:p>
    <w:p w:rsidR="00000000" w:rsidDel="00000000" w:rsidP="00000000" w:rsidRDefault="00000000" w:rsidRPr="00000000" w14:paraId="0000000E">
      <w:pPr>
        <w:widowControl w:val="0"/>
        <w:numPr>
          <w:ilvl w:val="0"/>
          <w:numId w:val="1"/>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w:t>
      </w:r>
    </w:p>
    <w:p w:rsidR="00000000" w:rsidDel="00000000" w:rsidP="00000000" w:rsidRDefault="00000000" w:rsidRPr="00000000" w14:paraId="0000000F">
      <w:pPr>
        <w:widowControl w:val="0"/>
        <w:numPr>
          <w:ilvl w:val="0"/>
          <w:numId w:val="1"/>
        </w:numPr>
        <w:tabs>
          <w:tab w:val="left" w:leader="none" w:pos="709"/>
        </w:tabs>
        <w:spacing w:after="283" w:line="360"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Resumen</w:t>
      </w:r>
    </w:p>
    <w:p w:rsidR="00000000" w:rsidDel="00000000" w:rsidP="00000000" w:rsidRDefault="00000000" w:rsidRPr="00000000" w14:paraId="00000011">
      <w:pPr>
        <w:widowControl w:val="0"/>
        <w:spacing w:after="283" w:line="360" w:lineRule="auto"/>
        <w:rPr>
          <w:sz w:val="24"/>
          <w:szCs w:val="24"/>
        </w:rPr>
      </w:pPr>
      <w:r w:rsidDel="00000000" w:rsidR="00000000" w:rsidRPr="00000000">
        <w:rPr>
          <w:sz w:val="24"/>
          <w:szCs w:val="24"/>
          <w:rtl w:val="0"/>
        </w:rPr>
        <w:t xml:space="preserve">Se investigaba a nuestro cliente por supuestas amenazas, coacciones y extorsión cometidas en 2023. El Ministerio Fiscal y el denunciante sostenían que había exigido bienes bajo intimidación. Tras un breve periodo de instrucción, el Juzgado de Instrucción nº 13 de Madrid concluyó que no existían indicios consistentes y dictó auto de sobreseimiento provisional el 5 de enero de 2024, archivando la causa con todos los pronunciamientos favorables.</w:t>
      </w:r>
    </w:p>
    <w:p w:rsidR="00000000" w:rsidDel="00000000" w:rsidP="00000000" w:rsidRDefault="00000000" w:rsidRPr="00000000" w14:paraId="00000012">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Hechos</w:t>
      </w:r>
    </w:p>
    <w:p w:rsidR="00000000" w:rsidDel="00000000" w:rsidP="00000000" w:rsidRDefault="00000000" w:rsidRPr="00000000" w14:paraId="00000013">
      <w:pPr>
        <w:widowControl w:val="0"/>
        <w:spacing w:after="283" w:line="360" w:lineRule="auto"/>
        <w:rPr>
          <w:sz w:val="24"/>
          <w:szCs w:val="24"/>
        </w:rPr>
      </w:pPr>
      <w:r w:rsidDel="00000000" w:rsidR="00000000" w:rsidRPr="00000000">
        <w:rPr>
          <w:sz w:val="24"/>
          <w:szCs w:val="24"/>
          <w:rtl w:val="0"/>
        </w:rPr>
        <w:t xml:space="preserve">Según la denuncia presentada en 2023, el denunciante alegó haber recibido mensajes y llamadas intimidatorias exigiendo el pago de una deuda. El procedimiento se incoó como diligencias previas en el Juzgado de Instrucción nº 13 de Madrid. Durante la instrucción se tomaron declaraciones a denunciante y testigos. La defensa resaltó que los mensajes aportados carecían de amenazas directas y que existía un conflicto civil previo entre las partes. Tampoco se practicaron diligencias que acreditaran la entrega de dinero ni la existencia de coacciones. La falta de pruebas objetivas llevó al tribunal a concluir que las supuestas amenazas y coacciones no podían sostener una acusación penal.</w:t>
      </w:r>
    </w:p>
    <w:p w:rsidR="00000000" w:rsidDel="00000000" w:rsidP="00000000" w:rsidRDefault="00000000" w:rsidRPr="00000000" w14:paraId="00000014">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Estrategia de defensa</w:t>
      </w:r>
    </w:p>
    <w:p w:rsidR="00000000" w:rsidDel="00000000" w:rsidP="00000000" w:rsidRDefault="00000000" w:rsidRPr="00000000" w14:paraId="00000015">
      <w:pPr>
        <w:widowControl w:val="0"/>
        <w:spacing w:after="283" w:line="360" w:lineRule="auto"/>
        <w:rPr>
          <w:sz w:val="24"/>
          <w:szCs w:val="24"/>
        </w:rPr>
      </w:pPr>
      <w:r w:rsidDel="00000000" w:rsidR="00000000" w:rsidRPr="00000000">
        <w:rPr>
          <w:rFonts w:ascii="Arial Unicode MS" w:cs="Arial Unicode MS" w:eastAsia="Arial Unicode MS" w:hAnsi="Arial Unicode MS"/>
          <w:sz w:val="24"/>
          <w:szCs w:val="24"/>
          <w:rtl w:val="0"/>
        </w:rPr>
        <w:t xml:space="preserve">La defensa sostuvo desde el inicio que las afirmaciones del denunciante no tenían respaldo probatorio. Se aconsejó al investigado ejercer su derecho a no declarar hasta conocer el expediente y se solicitó la práctica de diligencias para demostrar la inexistencia de intimidación. Se aportaron conversaciones y comunicaciones en las que no se apreciaban amenazas directas, y se subrayó la diferencia entre discusiones civiles y el delito de extorsión. Asimismo, se invocó la doctrina jurisprudencial que exige la existencia de un perjuicio actual y de un ánimo de lucro para que los hechos puedan calificarse como extorsión y que las amenazas se castiguen sólo cuando sean graves y verosímiles【118777346617067†L86-L114】. Finalmente, se interesó el archivo de las diligencias por ausencia de indicios, argumentación que fue compartida por el Ministerio Fiscal.</w:t>
      </w:r>
    </w:p>
    <w:p w:rsidR="00000000" w:rsidDel="00000000" w:rsidP="00000000" w:rsidRDefault="00000000" w:rsidRPr="00000000" w14:paraId="00000016">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Pruebas clave</w:t>
      </w:r>
    </w:p>
    <w:p w:rsidR="00000000" w:rsidDel="00000000" w:rsidP="00000000" w:rsidRDefault="00000000" w:rsidRPr="00000000" w14:paraId="00000017">
      <w:pPr>
        <w:widowControl w:val="0"/>
        <w:spacing w:after="283" w:line="360" w:lineRule="auto"/>
        <w:rPr>
          <w:sz w:val="24"/>
          <w:szCs w:val="24"/>
        </w:rPr>
      </w:pPr>
      <w:r w:rsidDel="00000000" w:rsidR="00000000" w:rsidRPr="00000000">
        <w:rPr>
          <w:sz w:val="24"/>
          <w:szCs w:val="24"/>
          <w:rtl w:val="0"/>
        </w:rPr>
        <w:t xml:space="preserve">Las únicas pruebas aportadas fueron la denuncia del perjudicado y capturas de mensajes de texto. No existían testigos presenciales ni grabaciones de audio. La pericial informática demostró que los mensajes no contenían amenazas concretas ni exigencia de dinero. Ante la ausencia de elementos objetivos, el juez entendió que la vía penal no era adecuada y que, en su caso, el conflicto debía dirimirse por la vía civil.</w:t>
      </w:r>
    </w:p>
    <w:p w:rsidR="00000000" w:rsidDel="00000000" w:rsidP="00000000" w:rsidRDefault="00000000" w:rsidRPr="00000000" w14:paraId="00000018">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Resolución</w:t>
      </w:r>
    </w:p>
    <w:p w:rsidR="00000000" w:rsidDel="00000000" w:rsidP="00000000" w:rsidRDefault="00000000" w:rsidRPr="00000000" w14:paraId="00000019">
      <w:pPr>
        <w:widowControl w:val="0"/>
        <w:spacing w:after="283" w:line="360" w:lineRule="auto"/>
        <w:rPr>
          <w:sz w:val="24"/>
          <w:szCs w:val="24"/>
        </w:rPr>
      </w:pPr>
      <w:r w:rsidDel="00000000" w:rsidR="00000000" w:rsidRPr="00000000">
        <w:rPr>
          <w:sz w:val="24"/>
          <w:szCs w:val="24"/>
          <w:rtl w:val="0"/>
        </w:rPr>
        <w:t xml:space="preserve">El Juzgado de Instrucción nº 13 de Madrid dictó el Auto nº 24/2024 con fecha 5 de enero de 2024. En la parte dispositiva acordó el </w:t>
      </w:r>
      <w:r w:rsidDel="00000000" w:rsidR="00000000" w:rsidRPr="00000000">
        <w:rPr>
          <w:i w:val="1"/>
          <w:sz w:val="24"/>
          <w:szCs w:val="24"/>
          <w:rtl w:val="0"/>
        </w:rPr>
        <w:t xml:space="preserve">sobreseimiento provisional</w:t>
      </w:r>
      <w:r w:rsidDel="00000000" w:rsidR="00000000" w:rsidRPr="00000000">
        <w:rPr>
          <w:sz w:val="24"/>
          <w:szCs w:val="24"/>
          <w:rtl w:val="0"/>
        </w:rPr>
        <w:t xml:space="preserve"> y el archivo de las actuaciones, precisando que el perjudicado podía acudir a la jurisdicción civil si lo estimaba oportuno. Esta resolución, al no ser recurrida, puso fin a la investigación penal y confirmó la inocencia de nuestro cliente.</w:t>
      </w:r>
    </w:p>
    <w:p w:rsidR="00000000" w:rsidDel="00000000" w:rsidP="00000000" w:rsidRDefault="00000000" w:rsidRPr="00000000" w14:paraId="0000001A">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Marco legal</w:t>
      </w:r>
    </w:p>
    <w:p w:rsidR="00000000" w:rsidDel="00000000" w:rsidP="00000000" w:rsidRDefault="00000000" w:rsidRPr="00000000" w14:paraId="0000001B">
      <w:pPr>
        <w:widowControl w:val="0"/>
        <w:spacing w:after="283" w:line="360" w:lineRule="auto"/>
        <w:rPr>
          <w:sz w:val="24"/>
          <w:szCs w:val="24"/>
        </w:rPr>
      </w:pPr>
      <w:r w:rsidDel="00000000" w:rsidR="00000000" w:rsidRPr="00000000">
        <w:rPr>
          <w:rFonts w:ascii="Arial Unicode MS" w:cs="Arial Unicode MS" w:eastAsia="Arial Unicode MS" w:hAnsi="Arial Unicode MS"/>
          <w:sz w:val="24"/>
          <w:szCs w:val="24"/>
          <w:rtl w:val="0"/>
        </w:rPr>
        <w:t xml:space="preserve">Los tipos penales de amenazas (arts. 169–171 del Código Penal) y de coacciones (art. 172) exigen que la intimidación sea grave o que impida a la víctima realizar lo que la ley no prohíbe【118777346617067†L86-L114】. El delito de extorsión (art. 243) castiga al que, con ánimo de lucro, obliga a otro a realizar u omitir un acto con violencia o intimidación. La jurisprudencia subraya que, para estimar estos delitos, la intimidación debe ser contundente y acreditarse el ánimo de lucro. En este caso no concurrieron tales requisitos.</w:t>
      </w:r>
    </w:p>
    <w:p w:rsidR="00000000" w:rsidDel="00000000" w:rsidP="00000000" w:rsidRDefault="00000000" w:rsidRPr="00000000" w14:paraId="0000001C">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Imágenes (anexos del expediente)</w:t>
      </w:r>
    </w:p>
    <w:p w:rsidR="00000000" w:rsidDel="00000000" w:rsidP="00000000" w:rsidRDefault="00000000" w:rsidRPr="00000000" w14:paraId="0000001D">
      <w:pPr>
        <w:widowControl w:val="0"/>
        <w:spacing w:after="283" w:line="360" w:lineRule="auto"/>
        <w:rPr>
          <w:sz w:val="24"/>
          <w:szCs w:val="24"/>
        </w:rPr>
      </w:pPr>
      <w:r w:rsidDel="00000000" w:rsidR="00000000" w:rsidRPr="00000000">
        <w:rPr>
          <w:sz w:val="24"/>
          <w:szCs w:val="24"/>
        </w:rPr>
        <w:drawing>
          <wp:inline distB="0" distT="0" distL="0" distR="0">
            <wp:extent cx="5731200" cy="4775200"/>
            <wp:effectExtent b="0" l="0" r="0" t="0"/>
            <wp:docPr descr="Auto de sobreseimiento provisional en caso de amenazas" id="1" name="image1.png"/>
            <a:graphic>
              <a:graphicData uri="http://schemas.openxmlformats.org/drawingml/2006/picture">
                <pic:pic>
                  <pic:nvPicPr>
                    <pic:cNvPr descr="Auto de sobreseimiento provisional en caso de amenazas" id="0" name="image1.png"/>
                    <pic:cNvPicPr preferRelativeResize="0"/>
                  </pic:nvPicPr>
                  <pic:blipFill>
                    <a:blip r:embed="rId6"/>
                    <a:srcRect b="0" l="0" r="0" t="0"/>
                    <a:stretch>
                      <a:fillRect/>
                    </a:stretch>
                  </pic:blipFill>
                  <pic:spPr>
                    <a:xfrm>
                      <a:off x="0" y="0"/>
                      <a:ext cx="5731200" cy="4775200"/>
                    </a:xfrm>
                    <a:prstGeom prst="rect"/>
                    <a:ln/>
                  </pic:spPr>
                </pic:pic>
              </a:graphicData>
            </a:graphic>
          </wp:inline>
        </w:drawing>
      </w:r>
      <w:r w:rsidDel="00000000" w:rsidR="00000000" w:rsidRPr="00000000">
        <w:rPr>
          <w:sz w:val="24"/>
          <w:szCs w:val="24"/>
          <w:rtl w:val="0"/>
        </w:rPr>
        <w:br w:type="textWrapping"/>
      </w:r>
      <w:r w:rsidDel="00000000" w:rsidR="00000000" w:rsidRPr="00000000">
        <w:rPr>
          <w:i w:val="1"/>
          <w:sz w:val="24"/>
          <w:szCs w:val="24"/>
          <w:rtl w:val="0"/>
        </w:rPr>
        <w:t xml:space="preserve">Auto nº 24/2024, Juzgado de Instrucción nº 13 de Madrid (5 de enero de 2024) – dicta el sobreseimiento provisional por falta de indicios.</w:t>
      </w:r>
      <w:r w:rsidDel="00000000" w:rsidR="00000000" w:rsidRPr="00000000">
        <w:rPr>
          <w:rtl w:val="0"/>
        </w:rPr>
      </w:r>
    </w:p>
    <w:p w:rsidR="00000000" w:rsidDel="00000000" w:rsidP="00000000" w:rsidRDefault="00000000" w:rsidRPr="00000000" w14:paraId="0000001E">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Enlaces y notas</w:t>
      </w:r>
    </w:p>
    <w:p w:rsidR="00000000" w:rsidDel="00000000" w:rsidP="00000000" w:rsidRDefault="00000000" w:rsidRPr="00000000" w14:paraId="0000001F">
      <w:pPr>
        <w:widowControl w:val="0"/>
        <w:numPr>
          <w:ilvl w:val="0"/>
          <w:numId w:val="2"/>
        </w:numPr>
        <w:tabs>
          <w:tab w:val="left" w:leader="none" w:pos="709"/>
        </w:tabs>
        <w:spacing w:line="360"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“Me acusan de amenazas o coacciones: diferencias y penas” – Consultalegal Abogados – sin fecha – https://consultalegal.abogado/amenazas-coacciones/【118777346617067†L86-L114】. </w:t>
      </w:r>
    </w:p>
    <w:p w:rsidR="00000000" w:rsidDel="00000000" w:rsidP="00000000" w:rsidRDefault="00000000" w:rsidRPr="00000000" w14:paraId="00000020">
      <w:pPr>
        <w:widowControl w:val="0"/>
        <w:numPr>
          <w:ilvl w:val="0"/>
          <w:numId w:val="2"/>
        </w:numPr>
        <w:tabs>
          <w:tab w:val="left" w:leader="none" w:pos="709"/>
        </w:tabs>
        <w:spacing w:after="283" w:line="360"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“Cómo actuar ante una acusación de amenazas o coacciones” – Consultalegal Abogados – sin fecha – https://consultalegal.abogado/amenazas-coacciones/【118777346617067†L126-L169】. </w:t>
      </w:r>
    </w:p>
    <w:p w:rsidR="00000000" w:rsidDel="00000000" w:rsidP="00000000" w:rsidRDefault="00000000" w:rsidRPr="00000000" w14:paraId="00000021">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SEO y anclas</w:t>
      </w:r>
    </w:p>
    <w:p w:rsidR="00000000" w:rsidDel="00000000" w:rsidP="00000000" w:rsidRDefault="00000000" w:rsidRPr="00000000" w14:paraId="00000022">
      <w:pPr>
        <w:widowControl w:val="0"/>
        <w:spacing w:after="283" w:line="360" w:lineRule="auto"/>
        <w:rPr>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/casos/amenazas-coacciones-extorsion-sobreseimiento</w:t>
      </w:r>
    </w:p>
    <w:p w:rsidR="00000000" w:rsidDel="00000000" w:rsidP="00000000" w:rsidRDefault="00000000" w:rsidRPr="00000000" w14:paraId="00000023">
      <w:pPr>
        <w:widowControl w:val="0"/>
        <w:spacing w:after="283"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CASO AMENAZAS, COACCIONES Y EXTORSIÓN – SOBRESEIMIENTO PROVISIONAL</w:t>
      </w:r>
    </w:p>
    <w:p w:rsidR="00000000" w:rsidDel="00000000" w:rsidP="00000000" w:rsidRDefault="00000000" w:rsidRPr="00000000" w14:paraId="00000024">
      <w:pPr>
        <w:widowControl w:val="0"/>
        <w:spacing w:after="283" w:line="360" w:lineRule="auto"/>
        <w:rPr>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Sobreseimiento en caso de amenazas, coacciones y extorsión en Madrid – 2024</w:t>
      </w:r>
    </w:p>
    <w:p w:rsidR="00000000" w:rsidDel="00000000" w:rsidP="00000000" w:rsidRDefault="00000000" w:rsidRPr="00000000" w14:paraId="00000025">
      <w:pPr>
        <w:widowControl w:val="0"/>
        <w:spacing w:after="283" w:line="360" w:lineRule="auto"/>
        <w:rPr>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Análisis del auto nº 24/2024 del Juzgado de Instrucción 13 de Madrid que decreta el sobreseimiento provisional por falta de pruebas en un procedimiento por amenazas, coacciones y extorsión (enero 2024).</w:t>
      </w:r>
    </w:p>
    <w:p w:rsidR="00000000" w:rsidDel="00000000" w:rsidP="00000000" w:rsidRDefault="00000000" w:rsidRPr="00000000" w14:paraId="00000026">
      <w:pPr>
        <w:widowControl w:val="0"/>
        <w:spacing w:after="283" w:line="360" w:lineRule="auto"/>
        <w:rPr>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sobreseimiento provisional amenazas coacciones, auto 24/2024 Madrid, extorsión sin pruebas, defensa penal amenazas, archivo diligencias previas amenazas.</w:t>
      </w:r>
    </w:p>
    <w:p w:rsidR="00000000" w:rsidDel="00000000" w:rsidP="00000000" w:rsidRDefault="00000000" w:rsidRPr="00000000" w14:paraId="00000027">
      <w:pPr>
        <w:widowControl w:val="0"/>
        <w:spacing w:after="283" w:line="360" w:lineRule="auto"/>
        <w:rPr>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#amenazas-coacciones-extorsion-resumen, #hechos, #estrategia, #pruebas, #resolucion, #prensa</w:t>
      </w:r>
    </w:p>
    <w:p w:rsidR="00000000" w:rsidDel="00000000" w:rsidP="00000000" w:rsidRDefault="00000000" w:rsidRPr="00000000" w14:paraId="00000028">
      <w:pPr>
        <w:widowControl w:val="0"/>
        <w:spacing w:after="283" w:line="360" w:lineRule="auto"/>
        <w:rPr>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Delitos contra la libertad; Amenazas y coacciones; Juzgado de Instrucción de Madrid; Sobreseimiento provisional; 2024</w:t>
      </w:r>
    </w:p>
    <w:p w:rsidR="00000000" w:rsidDel="00000000" w:rsidP="00000000" w:rsidRDefault="00000000" w:rsidRPr="00000000" w14:paraId="00000029">
      <w:pPr>
        <w:pStyle w:val="Heading2"/>
        <w:keepLines w:val="0"/>
        <w:widowControl w:val="0"/>
        <w:spacing w:before="300" w:line="360" w:lineRule="auto"/>
        <w:rPr>
          <w:rFonts w:ascii="Liberation Serif" w:cs="Liberation Serif" w:eastAsia="Liberation Serif" w:hAnsi="Liberation Serif"/>
          <w:b w:val="1"/>
          <w:color w:val="003366"/>
          <w:sz w:val="27"/>
          <w:szCs w:val="27"/>
        </w:rPr>
      </w:pPr>
      <w:r w:rsidDel="00000000" w:rsidR="00000000" w:rsidRPr="00000000">
        <w:rPr>
          <w:rFonts w:ascii="Liberation Serif" w:cs="Liberation Serif" w:eastAsia="Liberation Serif" w:hAnsi="Liberation Serif"/>
          <w:b w:val="1"/>
          <w:color w:val="003366"/>
          <w:sz w:val="27"/>
          <w:szCs w:val="27"/>
          <w:rtl w:val="0"/>
        </w:rPr>
        <w:t xml:space="preserve">Nota de verificación</w:t>
      </w:r>
    </w:p>
    <w:p w:rsidR="00000000" w:rsidDel="00000000" w:rsidP="00000000" w:rsidRDefault="00000000" w:rsidRPr="00000000" w14:paraId="0000002A">
      <w:pPr>
        <w:widowControl w:val="0"/>
        <w:spacing w:after="283" w:line="360" w:lineRule="auto"/>
        <w:rPr/>
      </w:pPr>
      <w:r w:rsidDel="00000000" w:rsidR="00000000" w:rsidRPr="00000000">
        <w:rPr>
          <w:rFonts w:ascii="Arial Unicode MS" w:cs="Arial Unicode MS" w:eastAsia="Arial Unicode MS" w:hAnsi="Arial Unicode MS"/>
          <w:sz w:val="24"/>
          <w:szCs w:val="24"/>
          <w:rtl w:val="0"/>
        </w:rPr>
        <w:t xml:space="preserve">La fecha y el órgano decisor están documentados en el auto nº 24/2024 del Juzgado de Instrucción 13 de Madrid (imagen anexada). El resultado (sobreseimiento provisional y archivo) coincide con lo dispuesto en la parte dispositiva del auto. Los detalles sobre el tipo de delito y la ausencia de pruebas se basan en el contenido del expediente y en la doctrina sobre amenazas y coacciones【118777346617067†L86-L114】.</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