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widowControl w:val="0"/>
        <w:spacing w:after="283" w:before="240" w:line="336" w:lineRule="auto"/>
        <w:rPr>
          <w:rFonts w:ascii="Liberation Sans" w:cs="Liberation Sans" w:eastAsia="Liberation Sans" w:hAnsi="Liberation Sans"/>
          <w:b w:val="1"/>
          <w:color w:val="003366"/>
          <w:sz w:val="48"/>
          <w:szCs w:val="48"/>
        </w:rPr>
      </w:pPr>
      <w:r w:rsidDel="00000000" w:rsidR="00000000" w:rsidRPr="00000000">
        <w:rPr>
          <w:rFonts w:ascii="Liberation Sans" w:cs="Liberation Sans" w:eastAsia="Liberation Sans" w:hAnsi="Liberation Sans"/>
          <w:b w:val="1"/>
          <w:color w:val="003366"/>
          <w:sz w:val="48"/>
          <w:szCs w:val="48"/>
          <w:rtl w:val="0"/>
        </w:rPr>
        <w:t xml:space="preserve">CASO LESIONES – Sobreseimiento provisional por falta de indicios</w:t>
      </w:r>
    </w:p>
    <w:p w:rsidR="00000000" w:rsidDel="00000000" w:rsidP="00000000" w:rsidRDefault="00000000" w:rsidRPr="00000000" w14:paraId="00000002">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Ficha rápida</w:t>
      </w:r>
    </w:p>
    <w:p w:rsidR="00000000" w:rsidDel="00000000" w:rsidP="00000000" w:rsidRDefault="00000000" w:rsidRPr="00000000" w14:paraId="00000003">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Categoría:</w:t>
      </w:r>
      <w:r w:rsidDel="00000000" w:rsidR="00000000" w:rsidRPr="00000000">
        <w:rPr>
          <w:sz w:val="24"/>
          <w:szCs w:val="24"/>
          <w:rtl w:val="0"/>
        </w:rPr>
        <w:t xml:space="preserve"> Delitos contra la integridad física </w:t>
      </w:r>
    </w:p>
    <w:p w:rsidR="00000000" w:rsidDel="00000000" w:rsidP="00000000" w:rsidRDefault="00000000" w:rsidRPr="00000000" w14:paraId="00000004">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Delito principal:</w:t>
      </w:r>
      <w:r w:rsidDel="00000000" w:rsidR="00000000" w:rsidRPr="00000000">
        <w:rPr>
          <w:sz w:val="24"/>
          <w:szCs w:val="24"/>
          <w:rtl w:val="0"/>
        </w:rPr>
        <w:t xml:space="preserve"> Lesiones (art. 147 CP) </w:t>
      </w:r>
    </w:p>
    <w:p w:rsidR="00000000" w:rsidDel="00000000" w:rsidP="00000000" w:rsidRDefault="00000000" w:rsidRPr="00000000" w14:paraId="00000005">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Parte:</w:t>
      </w:r>
      <w:r w:rsidDel="00000000" w:rsidR="00000000" w:rsidRPr="00000000">
        <w:rPr>
          <w:sz w:val="24"/>
          <w:szCs w:val="24"/>
          <w:rtl w:val="0"/>
        </w:rPr>
        <w:t xml:space="preserve"> Defensa </w:t>
      </w:r>
    </w:p>
    <w:p w:rsidR="00000000" w:rsidDel="00000000" w:rsidP="00000000" w:rsidRDefault="00000000" w:rsidRPr="00000000" w14:paraId="00000006">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Órgano:</w:t>
      </w:r>
      <w:r w:rsidDel="00000000" w:rsidR="00000000" w:rsidRPr="00000000">
        <w:rPr>
          <w:sz w:val="24"/>
          <w:szCs w:val="24"/>
          <w:rtl w:val="0"/>
        </w:rPr>
        <w:t xml:space="preserve"> Juzgado de 1.ª Instancia e Instrucción n.º 6 de Getafe </w:t>
      </w:r>
    </w:p>
    <w:p w:rsidR="00000000" w:rsidDel="00000000" w:rsidP="00000000" w:rsidRDefault="00000000" w:rsidRPr="00000000" w14:paraId="00000007">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Sección:</w:t>
      </w:r>
      <w:r w:rsidDel="00000000" w:rsidR="00000000" w:rsidRPr="00000000">
        <w:rPr>
          <w:sz w:val="24"/>
          <w:szCs w:val="24"/>
          <w:rtl w:val="0"/>
        </w:rPr>
        <w:t xml:space="preserve"> Instrucción </w:t>
      </w:r>
    </w:p>
    <w:p w:rsidR="00000000" w:rsidDel="00000000" w:rsidP="00000000" w:rsidRDefault="00000000" w:rsidRPr="00000000" w14:paraId="00000008">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Localidad:</w:t>
      </w:r>
      <w:r w:rsidDel="00000000" w:rsidR="00000000" w:rsidRPr="00000000">
        <w:rPr>
          <w:sz w:val="24"/>
          <w:szCs w:val="24"/>
          <w:rtl w:val="0"/>
        </w:rPr>
        <w:t xml:space="preserve"> Getafe (Madrid) </w:t>
      </w:r>
    </w:p>
    <w:p w:rsidR="00000000" w:rsidDel="00000000" w:rsidP="00000000" w:rsidRDefault="00000000" w:rsidRPr="00000000" w14:paraId="00000009">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Fase procesal:</w:t>
      </w:r>
      <w:r w:rsidDel="00000000" w:rsidR="00000000" w:rsidRPr="00000000">
        <w:rPr>
          <w:sz w:val="24"/>
          <w:szCs w:val="24"/>
          <w:rtl w:val="0"/>
        </w:rPr>
        <w:t xml:space="preserve"> Diligencias previas </w:t>
      </w:r>
    </w:p>
    <w:p w:rsidR="00000000" w:rsidDel="00000000" w:rsidP="00000000" w:rsidRDefault="00000000" w:rsidRPr="00000000" w14:paraId="0000000A">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Tipo de resolución:</w:t>
      </w:r>
      <w:r w:rsidDel="00000000" w:rsidR="00000000" w:rsidRPr="00000000">
        <w:rPr>
          <w:sz w:val="24"/>
          <w:szCs w:val="24"/>
          <w:rtl w:val="0"/>
        </w:rPr>
        <w:t xml:space="preserve"> Auto de sobreseimiento provisional y archivo </w:t>
      </w:r>
    </w:p>
    <w:p w:rsidR="00000000" w:rsidDel="00000000" w:rsidP="00000000" w:rsidRDefault="00000000" w:rsidRPr="00000000" w14:paraId="0000000B">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Favorabilidad:</w:t>
      </w:r>
      <w:r w:rsidDel="00000000" w:rsidR="00000000" w:rsidRPr="00000000">
        <w:rPr>
          <w:sz w:val="24"/>
          <w:szCs w:val="24"/>
          <w:rtl w:val="0"/>
        </w:rPr>
        <w:t xml:space="preserve"> Favorable </w:t>
      </w:r>
    </w:p>
    <w:p w:rsidR="00000000" w:rsidDel="00000000" w:rsidP="00000000" w:rsidRDefault="00000000" w:rsidRPr="00000000" w14:paraId="0000000C">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Fecha:</w:t>
      </w:r>
      <w:r w:rsidDel="00000000" w:rsidR="00000000" w:rsidRPr="00000000">
        <w:rPr>
          <w:sz w:val="24"/>
          <w:szCs w:val="24"/>
          <w:rtl w:val="0"/>
        </w:rPr>
        <w:t xml:space="preserve"> 04/09/2024 </w:t>
      </w:r>
    </w:p>
    <w:p w:rsidR="00000000" w:rsidDel="00000000" w:rsidP="00000000" w:rsidRDefault="00000000" w:rsidRPr="00000000" w14:paraId="0000000D">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Año:</w:t>
      </w:r>
      <w:r w:rsidDel="00000000" w:rsidR="00000000" w:rsidRPr="00000000">
        <w:rPr>
          <w:sz w:val="24"/>
          <w:szCs w:val="24"/>
          <w:rtl w:val="0"/>
        </w:rPr>
        <w:t xml:space="preserve"> 2024 </w:t>
      </w:r>
    </w:p>
    <w:p w:rsidR="00000000" w:rsidDel="00000000" w:rsidP="00000000" w:rsidRDefault="00000000" w:rsidRPr="00000000" w14:paraId="0000000E">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Medidas cautelares:</w:t>
      </w:r>
      <w:r w:rsidDel="00000000" w:rsidR="00000000" w:rsidRPr="00000000">
        <w:rPr>
          <w:sz w:val="24"/>
          <w:szCs w:val="24"/>
          <w:rtl w:val="0"/>
        </w:rPr>
        <w:t xml:space="preserve"> Ninguna (revocadas) </w:t>
      </w:r>
    </w:p>
    <w:p w:rsidR="00000000" w:rsidDel="00000000" w:rsidP="00000000" w:rsidRDefault="00000000" w:rsidRPr="00000000" w14:paraId="0000000F">
      <w:pPr>
        <w:widowControl w:val="0"/>
        <w:numPr>
          <w:ilvl w:val="0"/>
          <w:numId w:val="2"/>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Popularidad:</w:t>
      </w:r>
      <w:r w:rsidDel="00000000" w:rsidR="00000000" w:rsidRPr="00000000">
        <w:rPr>
          <w:sz w:val="24"/>
          <w:szCs w:val="24"/>
          <w:rtl w:val="0"/>
        </w:rPr>
        <w:t xml:space="preserve"> No </w:t>
      </w:r>
    </w:p>
    <w:p w:rsidR="00000000" w:rsidDel="00000000" w:rsidP="00000000" w:rsidRDefault="00000000" w:rsidRPr="00000000" w14:paraId="00000010">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Resumen</w:t>
      </w:r>
    </w:p>
    <w:p w:rsidR="00000000" w:rsidDel="00000000" w:rsidP="00000000" w:rsidRDefault="00000000" w:rsidRPr="00000000" w14:paraId="00000011">
      <w:pPr>
        <w:widowControl w:val="0"/>
        <w:spacing w:after="283" w:line="336" w:lineRule="auto"/>
        <w:rPr>
          <w:sz w:val="24"/>
          <w:szCs w:val="24"/>
        </w:rPr>
      </w:pPr>
      <w:r w:rsidDel="00000000" w:rsidR="00000000" w:rsidRPr="00000000">
        <w:rPr>
          <w:sz w:val="24"/>
          <w:szCs w:val="24"/>
          <w:rtl w:val="0"/>
        </w:rPr>
        <w:t xml:space="preserve">El Juzgado de Instrucción n.º 6 de Getafe investigó a varias personas por un presunto delito de lesiones derivado de un altercado entre conocidos. Tras practicar las diligencias necesarias, la juez dictó auto núm. 450/2024, de 4 de septiembre de 2024, acordando el sobreseimiento provisional y el archivo de la causa respecto de nuestro cliente, al no acreditarse su participación en los hechos. La causa continúa únicamente frente a otros investigados.</w:t>
      </w:r>
    </w:p>
    <w:p w:rsidR="00000000" w:rsidDel="00000000" w:rsidP="00000000" w:rsidRDefault="00000000" w:rsidRPr="00000000" w14:paraId="00000012">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Hechos (detallados)</w:t>
      </w:r>
    </w:p>
    <w:p w:rsidR="00000000" w:rsidDel="00000000" w:rsidP="00000000" w:rsidRDefault="00000000" w:rsidRPr="00000000" w14:paraId="00000013">
      <w:pPr>
        <w:widowControl w:val="0"/>
        <w:spacing w:after="283" w:line="336" w:lineRule="auto"/>
        <w:rPr>
          <w:sz w:val="24"/>
          <w:szCs w:val="24"/>
        </w:rPr>
      </w:pPr>
      <w:r w:rsidDel="00000000" w:rsidR="00000000" w:rsidRPr="00000000">
        <w:rPr>
          <w:sz w:val="24"/>
          <w:szCs w:val="24"/>
          <w:rtl w:val="0"/>
        </w:rPr>
        <w:t xml:space="preserve">La denuncia se interpuso en mayo de 2023 tras una discusión en un domicilio que acabó con una persona lesionada. Según el atestado policial, varias personas estaban presentes, pero las declaraciones de los testigos fueron contradictorias. En el marco de las diligencias previas núm. 570/2023, se tomó declaración a denunciantes e imputados, se recabaron informes médicos y se valoraron posibles coacciones. No se practicaron pruebas periciales que vincularan directamente a nuestro cliente con las lesiones.</w:t>
      </w:r>
    </w:p>
    <w:p w:rsidR="00000000" w:rsidDel="00000000" w:rsidP="00000000" w:rsidRDefault="00000000" w:rsidRPr="00000000" w14:paraId="00000014">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Estrategia de defensa</w:t>
      </w:r>
    </w:p>
    <w:p w:rsidR="00000000" w:rsidDel="00000000" w:rsidP="00000000" w:rsidRDefault="00000000" w:rsidRPr="00000000" w14:paraId="00000015">
      <w:pPr>
        <w:widowControl w:val="0"/>
        <w:spacing w:after="283" w:line="336" w:lineRule="auto"/>
        <w:rPr>
          <w:sz w:val="24"/>
          <w:szCs w:val="24"/>
        </w:rPr>
      </w:pPr>
      <w:r w:rsidDel="00000000" w:rsidR="00000000" w:rsidRPr="00000000">
        <w:rPr>
          <w:rFonts w:ascii="Arial Unicode MS" w:cs="Arial Unicode MS" w:eastAsia="Arial Unicode MS" w:hAnsi="Arial Unicode MS"/>
          <w:sz w:val="24"/>
          <w:szCs w:val="24"/>
          <w:rtl w:val="0"/>
        </w:rPr>
        <w:t xml:space="preserve">La defensa se apoyó en la ausencia de indicios suficientes. Se solicitó la declaración de sobreseimiento provisional al constatarse que la víctima no podía identificar de forma fiable a los agresores. También se aportaron pruebas documentales que situaban a nuestro patrocinado fuera del lugar de los hechos y se impugnó la credibilidad de los testimonios contradictorios, aplicando la doctrina de presunción de inocencia desarrollada por la jurisprudencia【112293523747878†L74-L84】.</w:t>
      </w:r>
    </w:p>
    <w:p w:rsidR="00000000" w:rsidDel="00000000" w:rsidP="00000000" w:rsidRDefault="00000000" w:rsidRPr="00000000" w14:paraId="00000016">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Pruebas clave</w:t>
      </w:r>
    </w:p>
    <w:p w:rsidR="00000000" w:rsidDel="00000000" w:rsidP="00000000" w:rsidRDefault="00000000" w:rsidRPr="00000000" w14:paraId="00000017">
      <w:pPr>
        <w:widowControl w:val="0"/>
        <w:spacing w:after="283" w:line="336" w:lineRule="auto"/>
        <w:rPr>
          <w:sz w:val="24"/>
          <w:szCs w:val="24"/>
        </w:rPr>
      </w:pPr>
      <w:r w:rsidDel="00000000" w:rsidR="00000000" w:rsidRPr="00000000">
        <w:rPr>
          <w:rFonts w:ascii="Arial Unicode MS" w:cs="Arial Unicode MS" w:eastAsia="Arial Unicode MS" w:hAnsi="Arial Unicode MS"/>
          <w:sz w:val="24"/>
          <w:szCs w:val="24"/>
          <w:rtl w:val="0"/>
        </w:rPr>
        <w:t xml:space="preserve">Entre las diligencias obraban el parte de urgencias de la víctima, varias declaraciones testificales y los atestados policiales. Ninguna prueba situaba a nuestro defendido en el lugar de los hechos en el momento de la agresión. La Audiencia Provincial ha subrayado en casos similares que ante declaraciones contradictorias y ausencia de pruebas objetivas procede la absolución o el sobreseimiento【112293523747878†L74-L84】.</w:t>
      </w:r>
    </w:p>
    <w:p w:rsidR="00000000" w:rsidDel="00000000" w:rsidP="00000000" w:rsidRDefault="00000000" w:rsidRPr="00000000" w14:paraId="00000018">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Resolución</w:t>
      </w:r>
    </w:p>
    <w:p w:rsidR="00000000" w:rsidDel="00000000" w:rsidP="00000000" w:rsidRDefault="00000000" w:rsidRPr="00000000" w14:paraId="00000019">
      <w:pPr>
        <w:widowControl w:val="0"/>
        <w:spacing w:after="283" w:line="336" w:lineRule="auto"/>
        <w:rPr>
          <w:sz w:val="24"/>
          <w:szCs w:val="24"/>
        </w:rPr>
      </w:pPr>
      <w:r w:rsidDel="00000000" w:rsidR="00000000" w:rsidRPr="00000000">
        <w:rPr>
          <w:sz w:val="24"/>
          <w:szCs w:val="24"/>
          <w:rtl w:val="0"/>
        </w:rPr>
        <w:t xml:space="preserve">El auto núm. 450/2024, dictado por la jueza Miriam …, acordó </w:t>
      </w:r>
      <w:r w:rsidDel="00000000" w:rsidR="00000000" w:rsidRPr="00000000">
        <w:rPr>
          <w:b w:val="1"/>
          <w:sz w:val="24"/>
          <w:szCs w:val="24"/>
          <w:rtl w:val="0"/>
        </w:rPr>
        <w:t xml:space="preserve">continuar la tramitación</w:t>
      </w:r>
      <w:r w:rsidDel="00000000" w:rsidR="00000000" w:rsidRPr="00000000">
        <w:rPr>
          <w:sz w:val="24"/>
          <w:szCs w:val="24"/>
          <w:rtl w:val="0"/>
        </w:rPr>
        <w:t xml:space="preserve"> de la causa respecto de otros investigados y decretar el </w:t>
      </w:r>
      <w:r w:rsidDel="00000000" w:rsidR="00000000" w:rsidRPr="00000000">
        <w:rPr>
          <w:b w:val="1"/>
          <w:sz w:val="24"/>
          <w:szCs w:val="24"/>
          <w:rtl w:val="0"/>
        </w:rPr>
        <w:t xml:space="preserve">sobreseimiento provisional</w:t>
      </w:r>
      <w:r w:rsidDel="00000000" w:rsidR="00000000" w:rsidRPr="00000000">
        <w:rPr>
          <w:sz w:val="24"/>
          <w:szCs w:val="24"/>
          <w:rtl w:val="0"/>
        </w:rPr>
        <w:t xml:space="preserve"> de las actuaciones respecto de nuestro cliente. Con este auto se archivaron las diligencias para él y se dejaron sin efecto las medidas cautelares que pudiera haber, manteniéndose la investigación contra los demás implicados.</w:t>
      </w:r>
    </w:p>
    <w:p w:rsidR="00000000" w:rsidDel="00000000" w:rsidP="00000000" w:rsidRDefault="00000000" w:rsidRPr="00000000" w14:paraId="0000001A">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Marco legal</w:t>
      </w:r>
    </w:p>
    <w:p w:rsidR="00000000" w:rsidDel="00000000" w:rsidP="00000000" w:rsidRDefault="00000000" w:rsidRPr="00000000" w14:paraId="0000001B">
      <w:pPr>
        <w:widowControl w:val="0"/>
        <w:spacing w:after="283" w:line="336" w:lineRule="auto"/>
        <w:rPr>
          <w:sz w:val="24"/>
          <w:szCs w:val="24"/>
        </w:rPr>
      </w:pPr>
      <w:r w:rsidDel="00000000" w:rsidR="00000000" w:rsidRPr="00000000">
        <w:rPr>
          <w:sz w:val="24"/>
          <w:szCs w:val="24"/>
          <w:rtl w:val="0"/>
        </w:rPr>
        <w:t xml:space="preserve">El artículo 637.2.º de la Ley de Enjuiciamiento Criminal permite el sobreseimiento provisional cuando, practicadas las diligencias, no resulte debidamente justificada la perpetración del delito. También se invoca el derecho fundamental a la presunción de inocencia consagrado en el artículo 24 de la Constitución.</w:t>
      </w:r>
    </w:p>
    <w:p w:rsidR="00000000" w:rsidDel="00000000" w:rsidP="00000000" w:rsidRDefault="00000000" w:rsidRPr="00000000" w14:paraId="0000001C">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Imágenes (anexos del expediente)</w:t>
      </w:r>
    </w:p>
    <w:p w:rsidR="00000000" w:rsidDel="00000000" w:rsidP="00000000" w:rsidRDefault="00000000" w:rsidRPr="00000000" w14:paraId="0000001D">
      <w:pPr>
        <w:widowControl w:val="0"/>
        <w:spacing w:after="283" w:line="336" w:lineRule="auto"/>
        <w:rPr>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Auto núm. 450/2024 del Juzgado de Instrucción n.º 6 de Getafe que dispone el sobreseimiento provisional respecto de nuestro cliente.</w:t>
      </w:r>
      <w:r w:rsidDel="00000000" w:rsidR="00000000" w:rsidRPr="00000000">
        <w:rPr>
          <w:rtl w:val="0"/>
        </w:rPr>
      </w:r>
    </w:p>
    <w:p w:rsidR="00000000" w:rsidDel="00000000" w:rsidP="00000000" w:rsidRDefault="00000000" w:rsidRPr="00000000" w14:paraId="0000001E">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Enlaces y notas (citas)</w:t>
      </w:r>
    </w:p>
    <w:p w:rsidR="00000000" w:rsidDel="00000000" w:rsidP="00000000" w:rsidRDefault="00000000" w:rsidRPr="00000000" w14:paraId="0000001F">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Absia Abogados – «Absolución en un caso de lesiones y coacciones en Getafe» – 9 de octubre de 2024【112293523747878†L74-L84】. </w:t>
      </w:r>
    </w:p>
    <w:p w:rsidR="00000000" w:rsidDel="00000000" w:rsidP="00000000" w:rsidRDefault="00000000" w:rsidRPr="00000000" w14:paraId="00000020">
      <w:pPr>
        <w:widowControl w:val="0"/>
        <w:numPr>
          <w:ilvl w:val="0"/>
          <w:numId w:val="3"/>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Cadena SER – «Tres menores absueltos de tentativa de asesinato por contradicciones en el testimonio de la víctima» – 16 de enero de 2023【614676779751785†L136-L172】 (aplica por analogía la doctrina de la presunción de inocencia). </w:t>
      </w:r>
    </w:p>
    <w:p w:rsidR="00000000" w:rsidDel="00000000" w:rsidP="00000000" w:rsidRDefault="00000000" w:rsidRPr="00000000" w14:paraId="00000021">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SEO y anclas (web)</w:t>
      </w:r>
    </w:p>
    <w:p w:rsidR="00000000" w:rsidDel="00000000" w:rsidP="00000000" w:rsidRDefault="00000000" w:rsidRPr="00000000" w14:paraId="00000022">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URL propuesta:</w:t>
      </w:r>
      <w:r w:rsidDel="00000000" w:rsidR="00000000" w:rsidRPr="00000000">
        <w:rPr>
          <w:sz w:val="24"/>
          <w:szCs w:val="24"/>
          <w:rtl w:val="0"/>
        </w:rPr>
        <w:t xml:space="preserve"> /casos/caso-lesiones-getafe </w:t>
      </w:r>
    </w:p>
    <w:p w:rsidR="00000000" w:rsidDel="00000000" w:rsidP="00000000" w:rsidRDefault="00000000" w:rsidRPr="00000000" w14:paraId="00000023">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SEO title:</w:t>
      </w:r>
      <w:r w:rsidDel="00000000" w:rsidR="00000000" w:rsidRPr="00000000">
        <w:rPr>
          <w:sz w:val="24"/>
          <w:szCs w:val="24"/>
          <w:rtl w:val="0"/>
        </w:rPr>
        <w:t xml:space="preserve"> Sobreseimiento provisional por lesiones en Getafe – defensa exitosa </w:t>
      </w:r>
    </w:p>
    <w:p w:rsidR="00000000" w:rsidDel="00000000" w:rsidP="00000000" w:rsidRDefault="00000000" w:rsidRPr="00000000" w14:paraId="00000024">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Meta description:</w:t>
      </w:r>
      <w:r w:rsidDel="00000000" w:rsidR="00000000" w:rsidRPr="00000000">
        <w:rPr>
          <w:sz w:val="24"/>
          <w:szCs w:val="24"/>
          <w:rtl w:val="0"/>
        </w:rPr>
        <w:t xml:space="preserve"> El Juzgado de Getafe archiva las diligencias por lesiones contra nuestro cliente por falta de indicios. La causa sigue contra otros investigados. </w:t>
      </w:r>
    </w:p>
    <w:p w:rsidR="00000000" w:rsidDel="00000000" w:rsidP="00000000" w:rsidRDefault="00000000" w:rsidRPr="00000000" w14:paraId="00000025">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Frases clave (SEO):</w:t>
      </w:r>
      <w:r w:rsidDel="00000000" w:rsidR="00000000" w:rsidRPr="00000000">
        <w:rPr>
          <w:sz w:val="24"/>
          <w:szCs w:val="24"/>
          <w:rtl w:val="0"/>
        </w:rPr>
        <w:t xml:space="preserve"> sobreseimiento lesiones Getafe, falta de indicios, presunción de inocencia, auto 450/2024 </w:t>
      </w:r>
    </w:p>
    <w:p w:rsidR="00000000" w:rsidDel="00000000" w:rsidP="00000000" w:rsidRDefault="00000000" w:rsidRPr="00000000" w14:paraId="00000026">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Anclas:</w:t>
      </w:r>
      <w:r w:rsidDel="00000000" w:rsidR="00000000" w:rsidRPr="00000000">
        <w:rPr>
          <w:sz w:val="24"/>
          <w:szCs w:val="24"/>
          <w:rtl w:val="0"/>
        </w:rPr>
        <w:t xml:space="preserve"> #caso-lesiones-resumen, #hechos, #estrategia, #pruebas, #resolucion, #prensa </w:t>
      </w:r>
    </w:p>
    <w:p w:rsidR="00000000" w:rsidDel="00000000" w:rsidP="00000000" w:rsidRDefault="00000000" w:rsidRPr="00000000" w14:paraId="00000027">
      <w:pPr>
        <w:widowControl w:val="0"/>
        <w:numPr>
          <w:ilvl w:val="0"/>
          <w:numId w:val="1"/>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Tags:</w:t>
      </w:r>
      <w:r w:rsidDel="00000000" w:rsidR="00000000" w:rsidRPr="00000000">
        <w:rPr>
          <w:sz w:val="24"/>
          <w:szCs w:val="24"/>
          <w:rtl w:val="0"/>
        </w:rPr>
        <w:t xml:space="preserve"> Lesiones, Getafe, sobreseimiento, 2024 </w:t>
      </w:r>
    </w:p>
    <w:p w:rsidR="00000000" w:rsidDel="00000000" w:rsidP="00000000" w:rsidRDefault="00000000" w:rsidRPr="00000000" w14:paraId="00000028">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Nota de verificación</w:t>
      </w:r>
    </w:p>
    <w:p w:rsidR="00000000" w:rsidDel="00000000" w:rsidP="00000000" w:rsidRDefault="00000000" w:rsidRPr="00000000" w14:paraId="00000029">
      <w:pPr>
        <w:widowControl w:val="0"/>
        <w:spacing w:after="283" w:line="336" w:lineRule="auto"/>
        <w:rPr>
          <w:sz w:val="24"/>
          <w:szCs w:val="24"/>
        </w:rPr>
      </w:pPr>
      <w:r w:rsidDel="00000000" w:rsidR="00000000" w:rsidRPr="00000000">
        <w:rPr>
          <w:sz w:val="24"/>
          <w:szCs w:val="24"/>
          <w:rtl w:val="0"/>
        </w:rPr>
        <w:t xml:space="preserve">La fecha y el órgano se deducen del auto mostrado. La inexistencia de indicios está corroborada por la doctrina jurisprudencial citada y por el análisis del despacho en casos similares.</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2">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3">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