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#Cálculos aritmeticos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&lt;- 2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&lt;- 5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&lt;- 10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#Soma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+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+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sum(a,b,c)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#Subtração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-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-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#Multiplicação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*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 *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prod(a,b,c)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#Divisão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/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/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#Potenciação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a^b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b**b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c^b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#Raiz quadrada / squared root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sqrt(9)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sqrt(144)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#Raíz enésima / a^(n/m) / m√a^n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a(c/b)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#Módulo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abs(a)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abs(a-c)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#Resto de divisão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%% 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 %%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#Quoficiente da divisão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%/%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 %/%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#Fatorial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factorial(b)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factorial(c)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#Logarítmo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log(1000, base = 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