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##Gráfico para Variáveis Qualitativas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#Gráfico de setores ou pizza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dados &lt;- c(rep("Sim", 20), rep("Não", 45))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dados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respostas &lt;- table(dados)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respostas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45+20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45/65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20/65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#pie = pizza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pie(respostas, main = "Respostas Entrevista", labels = c("69,23%", "30, 77%"),col = c(4,2))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#cores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cores_disponiveis &lt;- colors()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print(cores_disponiveis)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#legenda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legend("topright", fill = c(4,2), legend = c("Não", "Sim"))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#Gráfico de Barras ou colunas verticais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barplot(respostas, main = "Respostas Entrevista", col = topo.colors(1), horiz = TRUE)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##Gráfico para Variáveis Quantitativas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#Histograma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idade &lt;- sample(18:54, size = 50, replace = 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idade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hist(idade, breaks = 5, col = "blue", xlab = "Intervalo de Idades", ylab = "Frequência")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#box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boxplot(idade, main = "Boxplot das idades", col = "blue", ylab = "Intervalo de Idades", xlab = "Frequência", horizontal = 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amostras &lt;- data.frame(Tipo1 = c(20, 25, 40, 27, 32), Tipo2 = c(21, 25, 60, 40, 55))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amostras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boxplot(amostras$Tipo1, amostras$Tipo2)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