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jc w:val="center"/>
      </w:pPr>
      <w:r>
        <w:rPr>
          <w:rFonts w:ascii="Times New Roman" w:cs="Times New Roman" w:eastAsia="Times New Roman" w:hAnsi="Times New Roman"/>
          <w:b/>
          <w:bCs/>
          <w:color w:val="1A5276"/>
          <w:sz w:val="24"/>
          <w:szCs w:val="24"/>
        </w:rPr>
        <w:t xml:space="preserve">École Normale Supérieure de l'Enseignement Technique (ENSET) — Mohammedia</w:t>
      </w:r>
    </w:p>
    <w:p>
      <w:pPr>
        <w:spacing w:before="120"/>
        <w:jc w:val="center"/>
      </w:pPr>
      <w:r>
        <w:rPr>
          <w:rFonts w:ascii="Times New Roman" w:cs="Times New Roman" w:eastAsia="Times New Roman" w:hAnsi="Times New Roman"/>
          <w:color w:val="2C3E50"/>
          <w:sz w:val="22"/>
          <w:szCs w:val="22"/>
        </w:rPr>
        <w:t xml:space="preserve">Filière : Master Systèmes Distribués et Intelligence Artificielle (SDIA)</w:t>
      </w:r>
    </w:p>
    <w:p>
      <w:pPr>
        <w:pBdr>
          <w:bottom w:val="single" w:color="C0392B" w:sz="8" w:space="8"/>
        </w:pBdr>
        <w:spacing w:after="120"/>
        <w:jc w:val="center"/>
      </w:pPr>
      <w:r>
        <w:rPr>
          <w:rFonts w:ascii="Times New Roman" w:cs="Times New Roman" w:eastAsia="Times New Roman" w:hAnsi="Times New Roman"/>
          <w:i/>
          <w:iCs/>
          <w:color w:val="2C3E50"/>
          <w:sz w:val="22"/>
          <w:szCs w:val="22"/>
        </w:rPr>
        <w:t xml:space="preserve">Année Universitaire 2026-2027</w:t>
      </w:r>
    </w:p>
    <w:p>
      <w:pPr>
        <w:spacing w:after="120" w:before="600"/>
        <w:jc w:val="center"/>
      </w:pPr>
      <w:r>
        <w:rPr>
          <w:rFonts w:ascii="Times New Roman" w:cs="Times New Roman" w:eastAsia="Times New Roman" w:hAnsi="Times New Roman"/>
          <w:b/>
          <w:bCs/>
          <w:color w:val="C0392B"/>
          <w:sz w:val="64"/>
          <w:szCs w:val="64"/>
        </w:rPr>
        <w:t xml:space="preserve">RAPPORT DE TEST TECHNIQUE</w:t>
      </w:r>
    </w:p>
    <w:p>
      <w:pPr>
        <w:spacing w:after="120"/>
        <w:jc w:val="center"/>
      </w:pPr>
      <w:r>
        <w:rPr>
          <w:rFonts w:ascii="Times New Roman" w:cs="Times New Roman" w:eastAsia="Times New Roman" w:hAnsi="Times New Roman"/>
          <w:b/>
          <w:bCs/>
          <w:color w:val="1E8449"/>
          <w:sz w:val="40"/>
          <w:szCs w:val="40"/>
        </w:rPr>
        <w:t xml:space="preserve">Systèmes Distribués — ADRIA / ENSET 2027</w:t>
      </w:r>
    </w:p>
    <w:p>
      <w:pPr>
        <w:pBdr>
          <w:bottom w:val="single" w:color="1E8449" w:sz="8" w:space="8"/>
        </w:pBdr>
        <w:spacing w:after="400"/>
        <w:jc w:val="center"/>
      </w:pPr>
      <w:r>
        <w:rPr>
          <w:rFonts w:ascii="Times New Roman" w:cs="Times New Roman" w:eastAsia="Times New Roman" w:hAnsi="Times New Roman"/>
          <w:i/>
          <w:iCs/>
          <w:color w:val="1A5276"/>
          <w:sz w:val="30"/>
          <w:szCs w:val="30"/>
        </w:rPr>
        <w:t xml:space="preserve">Plateforme bancaire micro-services : Spring Cloud, Feign/Resilience4J, Kafka, agent IA MCP et client Angular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Étudiant</w:t>
            </w:r>
          </w:p>
        </w:tc>
        <w:tc>
          <w:tcPr>
            <w:tcW w:type="dxa" w:w="622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val="false"/>
                <w:bCs w:val="false"/>
                <w:color w:val="2C3E50"/>
                <w:sz w:val="20"/>
                <w:szCs w:val="20"/>
              </w:rPr>
              <w:t xml:space="preserve">Badr Eddine TOUBANI</w:t>
            </w:r>
          </w:p>
        </w:tc>
      </w:tr>
      <w:tr>
        <w:tc>
          <w:tcPr>
            <w:tcW w:type="dxa" w:w="2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Professeur</w:t>
            </w:r>
          </w:p>
        </w:tc>
        <w:tc>
          <w:tcPr>
            <w:tcW w:type="dxa" w:w="622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val="false"/>
                <w:bCs w:val="false"/>
                <w:color w:val="2C3E50"/>
                <w:sz w:val="20"/>
                <w:szCs w:val="20"/>
              </w:rPr>
              <w:t xml:space="preserve">Pr. Mohamed YOUSSFI</w:t>
            </w:r>
          </w:p>
        </w:tc>
      </w:tr>
      <w:tr>
        <w:tc>
          <w:tcPr>
            <w:tcW w:type="dxa" w:w="2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Filière</w:t>
            </w:r>
          </w:p>
        </w:tc>
        <w:tc>
          <w:tcPr>
            <w:tcW w:type="dxa" w:w="622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val="false"/>
                <w:bCs w:val="false"/>
                <w:color w:val="2C3E50"/>
                <w:sz w:val="20"/>
                <w:szCs w:val="20"/>
              </w:rPr>
              <w:t xml:space="preserve">Master SDIA</w:t>
            </w:r>
          </w:p>
        </w:tc>
      </w:tr>
      <w:tr>
        <w:tc>
          <w:tcPr>
            <w:tcW w:type="dxa" w:w="2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Établissement</w:t>
            </w:r>
          </w:p>
        </w:tc>
        <w:tc>
          <w:tcPr>
            <w:tcW w:type="dxa" w:w="622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val="false"/>
                <w:bCs w:val="false"/>
                <w:color w:val="2C3E50"/>
                <w:sz w:val="20"/>
                <w:szCs w:val="20"/>
              </w:rPr>
              <w:t xml:space="preserve">ENSET Mohammedia</w:t>
            </w:r>
          </w:p>
        </w:tc>
      </w:tr>
      <w:tr>
        <w:tc>
          <w:tcPr>
            <w:tcW w:type="dxa" w:w="2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Entreprise</w:t>
            </w:r>
          </w:p>
        </w:tc>
        <w:tc>
          <w:tcPr>
            <w:tcW w:type="dxa" w:w="622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val="false"/>
                <w:bCs w:val="false"/>
                <w:color w:val="2C3E50"/>
                <w:sz w:val="20"/>
                <w:szCs w:val="20"/>
              </w:rPr>
              <w:t xml:space="preserve">ADRIA Business &amp; Technology</w:t>
            </w:r>
          </w:p>
        </w:tc>
      </w:tr>
      <w:tr>
        <w:tc>
          <w:tcPr>
            <w:tcW w:type="dxa" w:w="2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Dépôt</w:t>
            </w:r>
          </w:p>
        </w:tc>
        <w:tc>
          <w:tcPr>
            <w:tcW w:type="dxa" w:w="622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val="false"/>
                <w:bCs w:val="false"/>
                <w:color w:val="2C3E50"/>
                <w:sz w:val="20"/>
                <w:szCs w:val="20"/>
              </w:rPr>
              <w:t xml:space="preserve">test-adria-backend (Git)</w:t>
            </w:r>
          </w:p>
        </w:tc>
      </w:tr>
      <w:tr>
        <w:tc>
          <w:tcPr>
            <w:tcW w:type="dxa" w:w="2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Date</w:t>
            </w:r>
          </w:p>
        </w:tc>
        <w:tc>
          <w:tcPr>
            <w:tcW w:type="dxa" w:w="622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val="false"/>
                <w:bCs w:val="false"/>
                <w:color w:val="2C3E50"/>
                <w:sz w:val="20"/>
                <w:szCs w:val="20"/>
              </w:rPr>
              <w:t xml:space="preserve">30/10/2026</w:t>
            </w:r>
          </w:p>
        </w:tc>
      </w:tr>
    </w:tbl>
    <w:p>
      <w:pPr>
        <w:spacing w:after="200" w:before="60"/>
        <w:jc w:val="center"/>
      </w:pPr>
      <w:r>
        <w:rPr>
          <w:rFonts w:ascii="Times New Roman" w:cs="Times New Roman" w:eastAsia="Times New Roman" w:hAnsi="Times New Roman"/>
          <w:i/>
          <w:iCs/>
          <w:color w:val="7F8C8D"/>
          <w:sz w:val="18"/>
          <w:szCs w:val="18"/>
        </w:rPr>
        <w:t xml:space="preserve">Tableau 0.1 — Informations du projet</w:t>
      </w:r>
    </w:p>
    <w:p>
      <w:r>
        <w:br w:type="page"/>
      </w:r>
    </w:p>
    <w:p>
      <w:pPr>
        <w:sectPr>
          <w:pgSz w:w="11906" w:h="16838" w:orient="portrait"/>
          <w:pgMar w:top="1440" w:right="1260" w:bottom="1440" w:left="1440" w:header="708" w:footer="708" w:gutter="0"/>
          <w:pgNumType/>
          <w:docGrid w:linePitch="360"/>
        </w:sectPr>
      </w:pPr>
    </w:p>
    <w:p>
      <w:pPr>
        <w:pBdr>
          <w:bottom w:val="single" w:color="C0392B" w:sz="8" w:space="6"/>
        </w:pBdr>
        <w:spacing w:after="300" w:before="200"/>
        <w:jc w:val="center"/>
      </w:pPr>
      <w:r>
        <w:rPr>
          <w:rFonts w:ascii="Times New Roman" w:cs="Times New Roman" w:eastAsia="Times New Roman" w:hAnsi="Times New Roman"/>
          <w:b/>
          <w:bCs/>
          <w:color w:val="C0392B"/>
          <w:sz w:val="32"/>
          <w:szCs w:val="32"/>
        </w:rPr>
        <w:t xml:space="preserve">REMERCIEMENTS</w:t>
      </w:r>
    </w:p>
    <w:p>
      <w:pPr>
        <w:spacing w:after="80" w:before="80" w:line="320"/>
        <w:jc w:val="both"/>
      </w:pPr>
      <w:r>
        <w:rPr>
          <w:rFonts w:ascii="Times New Roman" w:cs="Times New Roman" w:eastAsia="Times New Roman" w:hAnsi="Times New Roman"/>
          <w:color w:val="2C3E50"/>
          <w:sz w:val="22"/>
          <w:szCs w:val="22"/>
        </w:rPr>
        <w:t xml:space="preserve">Je remercie le Pr. Mohamed Youssfi pour la qualité de son enseignement des systèmes distribués au sein du Master SDIA, ainsi que l'équipe ADRIA pour l'organisation de cette épreuve technique, qui m'a permis de mettre en pratique, en temps limité, l'ensemble de la chaîne micro-services étudiée.</w:t>
      </w:r>
    </w:p>
    <w:p>
      <w:r>
        <w:br w:type="page"/>
      </w:r>
    </w:p>
    <w:p>
      <w:pPr>
        <w:pBdr>
          <w:bottom w:val="single" w:color="C0392B" w:sz="8" w:space="6"/>
        </w:pBdr>
        <w:spacing w:after="300" w:before="200"/>
        <w:jc w:val="center"/>
      </w:pPr>
      <w:r>
        <w:rPr>
          <w:rFonts w:ascii="Times New Roman" w:cs="Times New Roman" w:eastAsia="Times New Roman" w:hAnsi="Times New Roman"/>
          <w:b/>
          <w:bCs/>
          <w:color w:val="C0392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Bdr>
          <w:bottom w:val="single" w:color="C0392B" w:sz="8" w:space="6"/>
        </w:pBdr>
        <w:spacing w:after="300" w:before="200"/>
        <w:jc w:val="center"/>
      </w:pPr>
      <w:r>
        <w:rPr>
          <w:rFonts w:ascii="Times New Roman" w:cs="Times New Roman" w:eastAsia="Times New Roman" w:hAnsi="Times New Roman"/>
          <w:b/>
          <w:bCs/>
          <w:color w:val="C0392B"/>
          <w:sz w:val="32"/>
          <w:szCs w:val="32"/>
        </w:rPr>
        <w:t xml:space="preserve">LISTE DES ABRÉVIATIONS</w:t>
      </w:r>
    </w:p>
    <w:tbl>
      <w:tblPr>
        <w:tblW w:type="dxa" w:w="9206"/>
        <w:tblBorders>
          <w:top w:val="single" w:color="auto" w:sz="4"/>
          <w:left w:val="single" w:color="auto" w:sz="4"/>
          <w:bottom w:val="single" w:color="auto" w:sz="4"/>
          <w:right w:val="single" w:color="auto" w:sz="4"/>
          <w:insideH w:val="single" w:color="auto" w:sz="4"/>
          <w:insideV w:val="single" w:color="auto" w:sz="4"/>
        </w:tblBorders>
      </w:tblPr>
      <w:tblGrid>
        <w:gridCol w:w="2600"/>
        <w:gridCol w:w="6606"/>
      </w:tblGrid>
      <w:tr>
        <w:trPr>
          <w:tblHeader/>
        </w:trPr>
        <w:tc>
          <w:tcPr>
            <w:tcW w:type="dxa" w:w="26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Abréviation</w:t>
            </w:r>
          </w:p>
        </w:tc>
        <w:tc>
          <w:tcPr>
            <w:tcW w:type="dxa" w:w="6606"/>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Signification</w:t>
            </w:r>
          </w:p>
        </w:tc>
      </w:tr>
      <w:tr>
        <w:tc>
          <w:tcPr>
            <w:tcW w:type="dxa" w:w="26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API</w:t>
            </w:r>
          </w:p>
        </w:tc>
        <w:tc>
          <w:tcPr>
            <w:tcW w:type="dxa" w:w="66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Application Programming Interface</w:t>
            </w:r>
          </w:p>
        </w:tc>
      </w:tr>
      <w:tr>
        <w:tc>
          <w:tcPr>
            <w:tcW w:type="dxa" w:w="26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CB</w:t>
            </w:r>
          </w:p>
        </w:tc>
        <w:tc>
          <w:tcPr>
            <w:tcW w:type="dxa" w:w="66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Circuit Breaker (disjoncteur Resilience4J)</w:t>
            </w:r>
          </w:p>
        </w:tc>
      </w:tr>
      <w:tr>
        <w:tc>
          <w:tcPr>
            <w:tcW w:type="dxa" w:w="26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DTO</w:t>
            </w:r>
          </w:p>
        </w:tc>
        <w:tc>
          <w:tcPr>
            <w:tcW w:type="dxa" w:w="66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Data Transfer Object</w:t>
            </w:r>
          </w:p>
        </w:tc>
      </w:tr>
      <w:tr>
        <w:tc>
          <w:tcPr>
            <w:tcW w:type="dxa" w:w="26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JWT</w:t>
            </w:r>
          </w:p>
        </w:tc>
        <w:tc>
          <w:tcPr>
            <w:tcW w:type="dxa" w:w="66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JSON Web Token</w:t>
            </w:r>
          </w:p>
        </w:tc>
      </w:tr>
      <w:tr>
        <w:tc>
          <w:tcPr>
            <w:tcW w:type="dxa" w:w="26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KRaft</w:t>
            </w:r>
          </w:p>
        </w:tc>
        <w:tc>
          <w:tcPr>
            <w:tcW w:type="dxa" w:w="66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Kafka Raft (mode sans Zookeeper)</w:t>
            </w:r>
          </w:p>
        </w:tc>
      </w:tr>
      <w:tr>
        <w:tc>
          <w:tcPr>
            <w:tcW w:type="dxa" w:w="26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LLM</w:t>
            </w:r>
          </w:p>
        </w:tc>
        <w:tc>
          <w:tcPr>
            <w:tcW w:type="dxa" w:w="66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Large Language Model</w:t>
            </w:r>
          </w:p>
        </w:tc>
      </w:tr>
      <w:tr>
        <w:tc>
          <w:tcPr>
            <w:tcW w:type="dxa" w:w="26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MCP</w:t>
            </w:r>
          </w:p>
        </w:tc>
        <w:tc>
          <w:tcPr>
            <w:tcW w:type="dxa" w:w="66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Model Context Protocol</w:t>
            </w:r>
          </w:p>
        </w:tc>
      </w:tr>
      <w:tr>
        <w:tc>
          <w:tcPr>
            <w:tcW w:type="dxa" w:w="26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REST</w:t>
            </w:r>
          </w:p>
        </w:tc>
        <w:tc>
          <w:tcPr>
            <w:tcW w:type="dxa" w:w="66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Representational State Transfer</w:t>
            </w:r>
          </w:p>
        </w:tc>
      </w:tr>
      <w:tr>
        <w:tc>
          <w:tcPr>
            <w:tcW w:type="dxa" w:w="26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SSE</w:t>
            </w:r>
          </w:p>
        </w:tc>
        <w:tc>
          <w:tcPr>
            <w:tcW w:type="dxa" w:w="66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Server-Sent Events</w:t>
            </w:r>
          </w:p>
        </w:tc>
      </w:tr>
    </w:tbl>
    <w:p>
      <w:pPr>
        <w:spacing w:after="200" w:before="60"/>
        <w:jc w:val="center"/>
      </w:pPr>
      <w:r>
        <w:rPr>
          <w:rFonts w:ascii="Times New Roman" w:cs="Times New Roman" w:eastAsia="Times New Roman" w:hAnsi="Times New Roman"/>
          <w:i/>
          <w:iCs/>
          <w:color w:val="7F8C8D"/>
          <w:sz w:val="18"/>
          <w:szCs w:val="18"/>
        </w:rPr>
        <w:t xml:space="preserve">Tableau 0.2 — Abréviations utilisées</w:t>
      </w:r>
    </w:p>
    <w:p>
      <w:pPr>
        <w:pStyle w:val="Heading1"/>
        <w:pageBreakBefore/>
        <w:spacing w:after="160" w:before="240"/>
      </w:pPr>
      <w:r>
        <w:rPr>
          <w:rFonts w:ascii="Times New Roman" w:cs="Times New Roman" w:eastAsia="Times New Roman" w:hAnsi="Times New Roman"/>
          <w:b/>
          <w:bCs/>
          <w:color w:val="C0392B"/>
          <w:sz w:val="36"/>
          <w:szCs w:val="36"/>
        </w:rPr>
        <w:t xml:space="preserve">Introduction Générale</w:t>
      </w:r>
    </w:p>
    <w:p>
      <w:pPr>
        <w:spacing w:after="80" w:before="80" w:line="320"/>
        <w:jc w:val="both"/>
      </w:pPr>
      <w:r>
        <w:rPr>
          <w:rFonts w:ascii="Times New Roman" w:cs="Times New Roman" w:eastAsia="Times New Roman" w:hAnsi="Times New Roman"/>
          <w:color w:val="2C3E50"/>
          <w:sz w:val="22"/>
          <w:szCs w:val="22"/>
        </w:rPr>
        <w:t xml:space="preserve">L'épreuve demande de concevoir une plateforme bancaire distribuée : gestion des comptes, des transactions (paiement, dépôt, virement), communication synchrone tolérante aux pannes, communication asynchrone par événements, agent conversationnel capable d'exécuter des opérations bancaires, et client web. Le projet a été réalisé dans le dépôt test-adria-backend, avec un commit par fonctionnalité.</w:t>
      </w:r>
    </w:p>
    <w:p>
      <w:pPr>
        <w:spacing w:after="80" w:before="80" w:line="320"/>
        <w:jc w:val="both"/>
      </w:pPr>
      <w:r>
        <w:rPr>
          <w:rFonts w:ascii="Times New Roman" w:cs="Times New Roman" w:eastAsia="Times New Roman" w:hAnsi="Times New Roman"/>
          <w:color w:val="2C3E50"/>
          <w:sz w:val="22"/>
          <w:szCs w:val="22"/>
        </w:rPr>
        <w:t xml:space="preserve">Le rapport suit la démarche de réalisation :</w:t>
      </w:r>
    </w:p>
    <w:p>
      <w:pPr>
        <w:pStyle w:val="ListParagraph"/>
        <w:numPr>
          <w:ilvl w:val="0"/>
          <w:numId w:val="2"/>
        </w:numPr>
        <w:spacing w:after="40" w:before="40" w:line="300"/>
      </w:pPr>
      <w:r>
        <w:rPr>
          <w:rFonts w:ascii="Times New Roman" w:cs="Times New Roman" w:eastAsia="Times New Roman" w:hAnsi="Times New Roman"/>
          <w:color w:val="2C3E50"/>
          <w:sz w:val="22"/>
          <w:szCs w:val="22"/>
        </w:rPr>
        <w:t xml:space="preserve">Architecture et socle Spring Cloud (configuration, découverte, passerelle).</w:t>
      </w:r>
    </w:p>
    <w:p>
      <w:pPr>
        <w:pStyle w:val="ListParagraph"/>
        <w:numPr>
          <w:ilvl w:val="0"/>
          <w:numId w:val="2"/>
        </w:numPr>
        <w:spacing w:after="40" w:before="40" w:line="300"/>
      </w:pPr>
      <w:r>
        <w:rPr>
          <w:rFonts w:ascii="Times New Roman" w:cs="Times New Roman" w:eastAsia="Times New Roman" w:hAnsi="Times New Roman"/>
          <w:color w:val="2C3E50"/>
          <w:sz w:val="22"/>
          <w:szCs w:val="22"/>
        </w:rPr>
        <w:t xml:space="preserve">Micro-services métier account-service et transaction-service (REST, GraphQL, MCP) et communication Feign/Resilience4J.</w:t>
      </w:r>
    </w:p>
    <w:p>
      <w:pPr>
        <w:pStyle w:val="ListParagraph"/>
        <w:numPr>
          <w:ilvl w:val="0"/>
          <w:numId w:val="2"/>
        </w:numPr>
        <w:spacing w:after="40" w:before="40" w:line="300"/>
      </w:pPr>
      <w:r>
        <w:rPr>
          <w:rFonts w:ascii="Times New Roman" w:cs="Times New Roman" w:eastAsia="Times New Roman" w:hAnsi="Times New Roman"/>
          <w:color w:val="2C3E50"/>
          <w:sz w:val="22"/>
          <w:szCs w:val="22"/>
        </w:rPr>
        <w:t xml:space="preserve">Communication asynchrone Kafka et service d'audit, puis agent IA et client Angular.</w:t>
      </w:r>
    </w:p>
    <w:p>
      <w:pPr>
        <w:pStyle w:val="ListParagraph"/>
        <w:numPr>
          <w:ilvl w:val="0"/>
          <w:numId w:val="2"/>
        </w:numPr>
        <w:spacing w:after="40" w:before="40" w:line="300"/>
      </w:pPr>
      <w:r>
        <w:rPr>
          <w:rFonts w:ascii="Times New Roman" w:cs="Times New Roman" w:eastAsia="Times New Roman" w:hAnsi="Times New Roman"/>
          <w:color w:val="2C3E50"/>
          <w:sz w:val="22"/>
          <w:szCs w:val="22"/>
        </w:rPr>
        <w:t xml:space="preserve">Sécurité Keycloak, tests, bilan et limites.</w:t>
      </w:r>
    </w:p>
    <w:p>
      <w:pPr>
        <w:pStyle w:val="Heading1"/>
        <w:pageBreakBefore/>
        <w:spacing w:after="160" w:before="240"/>
      </w:pPr>
      <w:r>
        <w:rPr>
          <w:rFonts w:ascii="Times New Roman" w:cs="Times New Roman" w:eastAsia="Times New Roman" w:hAnsi="Times New Roman"/>
          <w:b/>
          <w:bCs/>
          <w:color w:val="C0392B"/>
          <w:sz w:val="36"/>
          <w:szCs w:val="36"/>
        </w:rPr>
        <w:t xml:space="preserve">Étape 1 : Architecture et socle Spring Cloud</w:t>
      </w:r>
    </w:p>
    <w:p>
      <w:pPr>
        <w:pStyle w:val="Heading2"/>
        <w:spacing w:after="100" w:before="200"/>
      </w:pPr>
      <w:r>
        <w:rPr>
          <w:rFonts w:ascii="Times New Roman" w:cs="Times New Roman" w:eastAsia="Times New Roman" w:hAnsi="Times New Roman"/>
          <w:b/>
          <w:bCs/>
          <w:color w:val="1E8449"/>
          <w:sz w:val="28"/>
          <w:szCs w:val="28"/>
        </w:rPr>
        <w:t xml:space="preserve">1.1 Vue d'ensemble</w:t>
      </w:r>
    </w:p>
    <w:p>
      <w:pPr>
        <w:spacing w:after="80" w:before="80" w:line="320"/>
        <w:jc w:val="both"/>
      </w:pPr>
      <w:r>
        <w:rPr>
          <w:rFonts w:ascii="Times New Roman" w:cs="Times New Roman" w:eastAsia="Times New Roman" w:hAnsi="Times New Roman"/>
          <w:color w:val="2C3E50"/>
          <w:sz w:val="22"/>
          <w:szCs w:val="22"/>
        </w:rPr>
        <w:t xml:space="preserve">Chaque responsabilité est portée par un micro-service Spring Boot indépendant, enregistré dans Eureka et configuré par le Config-service. Le front et les clients externes passent par la passerelle ; le chatbot dialogue avec les services métier via leurs serveurs MCP.</w:t>
      </w:r>
    </w:p>
    <w:p>
      <w:pPr>
        <w:spacing w:after="40" w:before="120"/>
        <w:jc w:val="center"/>
      </w:pPr>
      <w:r>
        <w:drawing>
          <wp:inline distT="0" distB="0" distL="0" distR="0">
            <wp:extent cx="576262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39065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7F8C8D"/>
          <w:sz w:val="18"/>
          <w:szCs w:val="18"/>
        </w:rPr>
        <w:t xml:space="preserve">Figure 1.1 — Architecture de la plateforme</w:t>
      </w:r>
    </w:p>
    <w:tbl>
      <w:tblPr>
        <w:tblW w:type="dxa" w:w="9206"/>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5906"/>
      </w:tblGrid>
      <w:tr>
        <w:trPr>
          <w:tblHeader/>
        </w:trPr>
        <w:tc>
          <w:tcPr>
            <w:tcW w:type="dxa" w:w="24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Service</w:t>
            </w:r>
          </w:p>
        </w:tc>
        <w:tc>
          <w:tcPr>
            <w:tcW w:type="dxa" w:w="9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Port</w:t>
            </w:r>
          </w:p>
        </w:tc>
        <w:tc>
          <w:tcPr>
            <w:tcW w:type="dxa" w:w="5906"/>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Rôle</w:t>
            </w:r>
          </w:p>
        </w:tc>
      </w:tr>
      <w:tr>
        <w:tc>
          <w:tcPr>
            <w:tcW w:type="dxa" w:w="2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Config-service</w:t>
            </w:r>
          </w:p>
        </w:tc>
        <w:tc>
          <w:tcPr>
            <w:tcW w:type="dxa" w:w="9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8888</w:t>
            </w:r>
          </w:p>
        </w:tc>
        <w:tc>
          <w:tcPr>
            <w:tcW w:type="dxa" w:w="59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Spring Cloud Config (native), partage bank.transaction.max-amount=1000</w:t>
            </w:r>
          </w:p>
        </w:tc>
      </w:tr>
      <w:tr>
        <w:tc>
          <w:tcPr>
            <w:tcW w:type="dxa" w:w="24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discovery-service</w:t>
            </w:r>
          </w:p>
        </w:tc>
        <w:tc>
          <w:tcPr>
            <w:tcW w:type="dxa" w:w="9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8761</w:t>
            </w:r>
          </w:p>
        </w:tc>
        <w:tc>
          <w:tcPr>
            <w:tcW w:type="dxa" w:w="59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Annuaire Eureka</w:t>
            </w:r>
          </w:p>
        </w:tc>
      </w:tr>
      <w:tr>
        <w:tc>
          <w:tcPr>
            <w:tcW w:type="dxa" w:w="2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gatway-service</w:t>
            </w:r>
          </w:p>
        </w:tc>
        <w:tc>
          <w:tcPr>
            <w:tcW w:type="dxa" w:w="9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9090</w:t>
            </w:r>
          </w:p>
        </w:tc>
        <w:tc>
          <w:tcPr>
            <w:tcW w:type="dxa" w:w="59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Spring Cloud Gateway (webmvc), routes lb:// vers les services</w:t>
            </w:r>
          </w:p>
        </w:tc>
      </w:tr>
      <w:tr>
        <w:tc>
          <w:tcPr>
            <w:tcW w:type="dxa" w:w="24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account-service</w:t>
            </w:r>
          </w:p>
        </w:tc>
        <w:tc>
          <w:tcPr>
            <w:tcW w:type="dxa" w:w="9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8081</w:t>
            </w:r>
          </w:p>
        </w:tc>
        <w:tc>
          <w:tcPr>
            <w:tcW w:type="dxa" w:w="59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Comptes : création, solde, débit/crédit, blocage</w:t>
            </w:r>
          </w:p>
        </w:tc>
      </w:tr>
      <w:tr>
        <w:tc>
          <w:tcPr>
            <w:tcW w:type="dxa" w:w="2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transaction-service</w:t>
            </w:r>
          </w:p>
        </w:tc>
        <w:tc>
          <w:tcPr>
            <w:tcW w:type="dxa" w:w="9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8082</w:t>
            </w:r>
          </w:p>
        </w:tc>
        <w:tc>
          <w:tcPr>
            <w:tcW w:type="dxa" w:w="59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Paiements, dépôts, virements ; producteur Kafka</w:t>
            </w:r>
          </w:p>
        </w:tc>
      </w:tr>
      <w:tr>
        <w:tc>
          <w:tcPr>
            <w:tcW w:type="dxa" w:w="24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audit-service</w:t>
            </w:r>
          </w:p>
        </w:tc>
        <w:tc>
          <w:tcPr>
            <w:tcW w:type="dxa" w:w="9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8083</w:t>
            </w:r>
          </w:p>
        </w:tc>
        <w:tc>
          <w:tcPr>
            <w:tcW w:type="dxa" w:w="59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Consumer Kafka, journal d'audit</w:t>
            </w:r>
          </w:p>
        </w:tc>
      </w:tr>
      <w:tr>
        <w:tc>
          <w:tcPr>
            <w:tcW w:type="dxa" w:w="2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chat-bot-service</w:t>
            </w:r>
          </w:p>
        </w:tc>
        <w:tc>
          <w:tcPr>
            <w:tcW w:type="dxa" w:w="9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8084</w:t>
            </w:r>
          </w:p>
        </w:tc>
        <w:tc>
          <w:tcPr>
            <w:tcW w:type="dxa" w:w="59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Agent IA : LLM + tools MCP</w:t>
            </w:r>
          </w:p>
        </w:tc>
      </w:tr>
      <w:tr>
        <w:tc>
          <w:tcPr>
            <w:tcW w:type="dxa" w:w="24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Front Angular</w:t>
            </w:r>
          </w:p>
        </w:tc>
        <w:tc>
          <w:tcPr>
            <w:tcW w:type="dxa" w:w="9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4200</w:t>
            </w:r>
          </w:p>
        </w:tc>
        <w:tc>
          <w:tcPr>
            <w:tcW w:type="dxa" w:w="59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Client web</w:t>
            </w:r>
          </w:p>
        </w:tc>
      </w:tr>
      <w:tr>
        <w:tc>
          <w:tcPr>
            <w:tcW w:type="dxa" w:w="2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Kafka (KRaft)</w:t>
            </w:r>
          </w:p>
        </w:tc>
        <w:tc>
          <w:tcPr>
            <w:tcW w:type="dxa" w:w="9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9092</w:t>
            </w:r>
          </w:p>
        </w:tc>
        <w:tc>
          <w:tcPr>
            <w:tcW w:type="dxa" w:w="59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Broker d'événements, sans Zookeeper</w:t>
            </w:r>
          </w:p>
        </w:tc>
      </w:tr>
    </w:tbl>
    <w:p>
      <w:pPr>
        <w:spacing w:after="200" w:before="60"/>
        <w:jc w:val="center"/>
      </w:pPr>
      <w:r>
        <w:rPr>
          <w:rFonts w:ascii="Times New Roman" w:cs="Times New Roman" w:eastAsia="Times New Roman" w:hAnsi="Times New Roman"/>
          <w:i/>
          <w:iCs/>
          <w:color w:val="7F8C8D"/>
          <w:sz w:val="18"/>
          <w:szCs w:val="18"/>
        </w:rPr>
        <w:t xml:space="preserve">Tableau 1.1 — Services et ports</w:t>
      </w:r>
    </w:p>
    <w:p>
      <w:pPr>
        <w:pStyle w:val="Heading2"/>
        <w:spacing w:after="100" w:before="200"/>
      </w:pPr>
      <w:r>
        <w:rPr>
          <w:rFonts w:ascii="Times New Roman" w:cs="Times New Roman" w:eastAsia="Times New Roman" w:hAnsi="Times New Roman"/>
          <w:b/>
          <w:bCs/>
          <w:color w:val="1E8449"/>
          <w:sz w:val="28"/>
          <w:szCs w:val="28"/>
        </w:rPr>
        <w:t xml:space="preserve">1.2 Stack technique</w:t>
      </w:r>
    </w:p>
    <w:tbl>
      <w:tblPr>
        <w:tblW w:type="dxa" w:w="9206"/>
        <w:tblBorders>
          <w:top w:val="single" w:color="auto" w:sz="4"/>
          <w:left w:val="single" w:color="auto" w:sz="4"/>
          <w:bottom w:val="single" w:color="auto" w:sz="4"/>
          <w:right w:val="single" w:color="auto" w:sz="4"/>
          <w:insideH w:val="single" w:color="auto" w:sz="4"/>
          <w:insideV w:val="single" w:color="auto" w:sz="4"/>
        </w:tblBorders>
      </w:tblPr>
      <w:tblGrid>
        <w:gridCol w:w="2800"/>
        <w:gridCol w:w="6406"/>
      </w:tblGrid>
      <w:tr>
        <w:trPr>
          <w:tblHeader/>
        </w:trPr>
        <w:tc>
          <w:tcPr>
            <w:tcW w:type="dxa" w:w="2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Élément</w:t>
            </w:r>
          </w:p>
        </w:tc>
        <w:tc>
          <w:tcPr>
            <w:tcW w:type="dxa" w:w="6406"/>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Version / choix</w:t>
            </w:r>
          </w:p>
        </w:tc>
      </w:tr>
      <w:tr>
        <w:tc>
          <w:tcPr>
            <w:tcW w:type="dxa" w:w="28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Spring Boot</w:t>
            </w:r>
          </w:p>
        </w:tc>
        <w:tc>
          <w:tcPr>
            <w:tcW w:type="dxa" w:w="64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4.0.9</w:t>
            </w:r>
          </w:p>
        </w:tc>
      </w:tr>
      <w:tr>
        <w:tc>
          <w:tcPr>
            <w:tcW w:type="dxa" w:w="28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Spring Cloud</w:t>
            </w:r>
          </w:p>
        </w:tc>
        <w:tc>
          <w:tcPr>
            <w:tcW w:type="dxa" w:w="64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2025.1.4</w:t>
            </w:r>
          </w:p>
        </w:tc>
      </w:tr>
      <w:tr>
        <w:tc>
          <w:tcPr>
            <w:tcW w:type="dxa" w:w="28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Spring AI</w:t>
            </w:r>
          </w:p>
        </w:tc>
        <w:tc>
          <w:tcPr>
            <w:tcW w:type="dxa" w:w="64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2.0.1 (MCP server webmvc, MCP client, OpenAI)</w:t>
            </w:r>
          </w:p>
        </w:tc>
      </w:tr>
      <w:tr>
        <w:tc>
          <w:tcPr>
            <w:tcW w:type="dxa" w:w="28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Java</w:t>
            </w:r>
          </w:p>
        </w:tc>
        <w:tc>
          <w:tcPr>
            <w:tcW w:type="dxa" w:w="64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21</w:t>
            </w:r>
          </w:p>
        </w:tc>
      </w:tr>
      <w:tr>
        <w:tc>
          <w:tcPr>
            <w:tcW w:type="dxa" w:w="28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Base de données</w:t>
            </w:r>
          </w:p>
        </w:tc>
        <w:tc>
          <w:tcPr>
            <w:tcW w:type="dxa" w:w="64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H2 en mémoire par service</w:t>
            </w:r>
          </w:p>
        </w:tc>
      </w:tr>
      <w:tr>
        <w:tc>
          <w:tcPr>
            <w:tcW w:type="dxa" w:w="28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Messagerie</w:t>
            </w:r>
          </w:p>
        </w:tc>
        <w:tc>
          <w:tcPr>
            <w:tcW w:type="dxa" w:w="64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Apache Kafka 3.9.1 (KRaft, docker-compose)</w:t>
            </w:r>
          </w:p>
        </w:tc>
      </w:tr>
      <w:tr>
        <w:tc>
          <w:tcPr>
            <w:tcW w:type="dxa" w:w="28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Front</w:t>
            </w:r>
          </w:p>
        </w:tc>
        <w:tc>
          <w:tcPr>
            <w:tcW w:type="dxa" w:w="64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Angular 22 (composants standalone, signals)</w:t>
            </w:r>
          </w:p>
        </w:tc>
      </w:tr>
      <w:tr>
        <w:tc>
          <w:tcPr>
            <w:tcW w:type="dxa" w:w="28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Sécurité</w:t>
            </w:r>
          </w:p>
        </w:tc>
        <w:tc>
          <w:tcPr>
            <w:tcW w:type="dxa" w:w="64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Keycloak 26.2, OAuth2 Resource Server JWT</w:t>
            </w:r>
          </w:p>
        </w:tc>
      </w:tr>
    </w:tbl>
    <w:p>
      <w:pPr>
        <w:spacing w:after="200" w:before="60"/>
        <w:jc w:val="center"/>
      </w:pPr>
      <w:r>
        <w:rPr>
          <w:rFonts w:ascii="Times New Roman" w:cs="Times New Roman" w:eastAsia="Times New Roman" w:hAnsi="Times New Roman"/>
          <w:i/>
          <w:iCs/>
          <w:color w:val="7F8C8D"/>
          <w:sz w:val="18"/>
          <w:szCs w:val="18"/>
        </w:rPr>
        <w:t xml:space="preserve">Tableau 1.2 — Stack technique</w:t>
      </w:r>
    </w:p>
    <w:p>
      <w:pPr>
        <w:pStyle w:val="Heading2"/>
        <w:spacing w:after="100" w:before="200"/>
      </w:pPr>
      <w:r>
        <w:rPr>
          <w:rFonts w:ascii="Times New Roman" w:cs="Times New Roman" w:eastAsia="Times New Roman" w:hAnsi="Times New Roman"/>
          <w:b/>
          <w:bCs/>
          <w:color w:val="1E8449"/>
          <w:sz w:val="28"/>
          <w:szCs w:val="28"/>
        </w:rPr>
        <w:t xml:space="preserve">1.3 Organisation en couches</w:t>
      </w:r>
    </w:p>
    <w:p>
      <w:pPr>
        <w:spacing w:after="80" w:before="80" w:line="320"/>
        <w:jc w:val="both"/>
      </w:pPr>
      <w:r>
        <w:rPr>
          <w:rFonts w:ascii="Times New Roman" w:cs="Times New Roman" w:eastAsia="Times New Roman" w:hAnsi="Times New Roman"/>
          <w:color w:val="2C3E50"/>
          <w:sz w:val="22"/>
          <w:szCs w:val="22"/>
        </w:rPr>
        <w:t xml:space="preserve">Chaque service métier respecte la séparation imposée par l'énoncé. Les trois points d'entrée (REST, GraphQL, MCP) ne contiennent aucune logique métier et délèguent tous à la même méthode de la couche service.</w:t>
      </w:r>
    </w:p>
    <w:p>
      <w:pPr>
        <w:spacing w:after="160" w:before="160"/>
        <w:jc w:val="center"/>
      </w:pPr>
      <w:r>
        <w:rPr>
          <w:rFonts w:ascii="Courier New" w:cs="Courier New" w:eastAsia="Courier New" w:hAnsi="Courier New"/>
          <w:b/>
          <w:bCs/>
          <w:color w:val="1A1A1A"/>
          <w:sz w:val="20"/>
          <w:szCs w:val="20"/>
        </w:rPr>
        <w:t xml:space="preserve">domain → repository → service → web/rest | web/graphql | mcp</w:t>
      </w:r>
    </w:p>
    <w:p>
      <w:pPr>
        <w:spacing w:after="80" w:before="80" w:line="320"/>
        <w:jc w:val="both"/>
      </w:pPr>
      <w:r>
        <w:rPr>
          <w:rFonts w:ascii="Times New Roman" w:cs="Times New Roman" w:eastAsia="Times New Roman" w:hAnsi="Times New Roman"/>
          <w:color w:val="2C3E50"/>
          <w:sz w:val="22"/>
          <w:szCs w:val="22"/>
        </w:rPr>
        <w:t xml:space="preserve">Le POM racine est un POM agrégateur qui déclare les sept modules, ce qui permet à IntelliJ et à Maven de détecter tous les services en un seul projet.</w:t>
      </w:r>
    </w:p>
    <w:p>
      <w:pPr>
        <w:pStyle w:val="Heading1"/>
        <w:pageBreakBefore/>
        <w:spacing w:after="160" w:before="240"/>
      </w:pPr>
      <w:r>
        <w:rPr>
          <w:rFonts w:ascii="Times New Roman" w:cs="Times New Roman" w:eastAsia="Times New Roman" w:hAnsi="Times New Roman"/>
          <w:b/>
          <w:bCs/>
          <w:color w:val="C0392B"/>
          <w:sz w:val="36"/>
          <w:szCs w:val="36"/>
        </w:rPr>
        <w:t xml:space="preserve">Étape 2 : Services métier et communication synchrone</w:t>
      </w:r>
    </w:p>
    <w:p>
      <w:pPr>
        <w:pStyle w:val="Heading2"/>
        <w:spacing w:after="100" w:before="200"/>
      </w:pPr>
      <w:r>
        <w:rPr>
          <w:rFonts w:ascii="Times New Roman" w:cs="Times New Roman" w:eastAsia="Times New Roman" w:hAnsi="Times New Roman"/>
          <w:b/>
          <w:bCs/>
          <w:color w:val="1E8449"/>
          <w:sz w:val="28"/>
          <w:szCs w:val="28"/>
        </w:rPr>
        <w:t xml:space="preserve">2.1 account-service et transaction-service</w:t>
      </w:r>
    </w:p>
    <w:p>
      <w:pPr>
        <w:spacing w:after="80" w:before="80" w:line="320"/>
        <w:jc w:val="both"/>
      </w:pPr>
      <w:r>
        <w:rPr>
          <w:rFonts w:ascii="Times New Roman" w:cs="Times New Roman" w:eastAsia="Times New Roman" w:hAnsi="Times New Roman"/>
          <w:color w:val="2C3E50"/>
          <w:sz w:val="22"/>
          <w:szCs w:val="22"/>
        </w:rPr>
        <w:t xml:space="preserve">account-service gère les comptes (référence client, devise ISO, solde, statut ACTIVE/BLOCKED). transaction-service orchestre les paiements, dépôts et virements en appelant account-service. Les deux services exposent la même logique en REST, en GraphQL (GraphiQL activé) et sous forme de tools MCP.</w:t>
      </w:r>
    </w:p>
    <w:p>
      <w:pPr>
        <w:pStyle w:val="Heading2"/>
        <w:spacing w:after="100" w:before="200"/>
      </w:pPr>
      <w:r>
        <w:rPr>
          <w:rFonts w:ascii="Times New Roman" w:cs="Times New Roman" w:eastAsia="Times New Roman" w:hAnsi="Times New Roman"/>
          <w:b/>
          <w:bCs/>
          <w:color w:val="1E8449"/>
          <w:sz w:val="28"/>
          <w:szCs w:val="28"/>
        </w:rPr>
        <w:t xml:space="preserve">2.2 Règles métier</w:t>
      </w:r>
    </w:p>
    <w:tbl>
      <w:tblPr>
        <w:tblW w:type="dxa" w:w="9206"/>
        <w:tblBorders>
          <w:top w:val="single" w:color="auto" w:sz="4"/>
          <w:left w:val="single" w:color="auto" w:sz="4"/>
          <w:bottom w:val="single" w:color="auto" w:sz="4"/>
          <w:right w:val="single" w:color="auto" w:sz="4"/>
          <w:insideH w:val="single" w:color="auto" w:sz="4"/>
          <w:insideV w:val="single" w:color="auto" w:sz="4"/>
        </w:tblBorders>
      </w:tblPr>
      <w:tblGrid>
        <w:gridCol w:w="2600"/>
        <w:gridCol w:w="6606"/>
      </w:tblGrid>
      <w:tr>
        <w:trPr>
          <w:tblHeader/>
        </w:trPr>
        <w:tc>
          <w:tcPr>
            <w:tcW w:type="dxa" w:w="26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Règle</w:t>
            </w:r>
          </w:p>
        </w:tc>
        <w:tc>
          <w:tcPr>
            <w:tcW w:type="dxa" w:w="6606"/>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Comportement</w:t>
            </w:r>
          </w:p>
        </w:tc>
      </w:tr>
      <w:tr>
        <w:tc>
          <w:tcPr>
            <w:tcW w:type="dxa" w:w="26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Plafond par opération</w:t>
            </w:r>
          </w:p>
        </w:tc>
        <w:tc>
          <w:tcPr>
            <w:tcW w:type="dxa" w:w="66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Paramètre partagé par le Config-service (1000). Un paiement de 5000 renvoie 422 : « Le montant 5000 dépasse le plafond autorisé de 1000 ».</w:t>
            </w:r>
          </w:p>
        </w:tc>
      </w:tr>
      <w:tr>
        <w:tc>
          <w:tcPr>
            <w:tcW w:type="dxa" w:w="26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Montant</w:t>
            </w:r>
          </w:p>
        </w:tc>
        <w:tc>
          <w:tcPr>
            <w:tcW w:type="dxa" w:w="66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Strictement positif, sinon erreur métier.</w:t>
            </w:r>
          </w:p>
        </w:tc>
      </w:tr>
      <w:tr>
        <w:tc>
          <w:tcPr>
            <w:tcW w:type="dxa" w:w="26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Devise</w:t>
            </w:r>
          </w:p>
        </w:tc>
        <w:tc>
          <w:tcPr>
            <w:tcW w:type="dxa" w:w="66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La devise de l'opération doit être celle du compte (CurrencyMismatchException).</w:t>
            </w:r>
          </w:p>
        </w:tc>
      </w:tr>
      <w:tr>
        <w:tc>
          <w:tcPr>
            <w:tcW w:type="dxa" w:w="26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Compte bloqué</w:t>
            </w:r>
          </w:p>
        </w:tc>
        <w:tc>
          <w:tcPr>
            <w:tcW w:type="dxa" w:w="66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Toute opération sur un compte non actif est refusée (AccountBlockedException).</w:t>
            </w:r>
          </w:p>
        </w:tc>
      </w:tr>
      <w:tr>
        <w:tc>
          <w:tcPr>
            <w:tcW w:type="dxa" w:w="26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Solde insuffisant</w:t>
            </w:r>
          </w:p>
        </w:tc>
        <w:tc>
          <w:tcPr>
            <w:tcW w:type="dxa" w:w="66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Paiement et virement vérifient le solde (InsufficientBalanceException).</w:t>
            </w:r>
          </w:p>
        </w:tc>
      </w:tr>
      <w:tr>
        <w:tc>
          <w:tcPr>
            <w:tcW w:type="dxa" w:w="26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Virement</w:t>
            </w:r>
          </w:p>
        </w:tc>
        <w:tc>
          <w:tcPr>
            <w:tcW w:type="dxa" w:w="66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Deux écritures TRANSFER_OUT / TRANSFER_IN liées par transferId ; si le crédit échoue, le débit est compensé.</w:t>
            </w:r>
          </w:p>
        </w:tc>
      </w:tr>
    </w:tbl>
    <w:p>
      <w:pPr>
        <w:spacing w:after="200" w:before="60"/>
        <w:jc w:val="center"/>
      </w:pPr>
      <w:r>
        <w:rPr>
          <w:rFonts w:ascii="Times New Roman" w:cs="Times New Roman" w:eastAsia="Times New Roman" w:hAnsi="Times New Roman"/>
          <w:i/>
          <w:iCs/>
          <w:color w:val="7F8C8D"/>
          <w:sz w:val="18"/>
          <w:szCs w:val="18"/>
        </w:rPr>
        <w:t xml:space="preserve">Tableau 2.1 — Règles métier implémentées</w:t>
      </w:r>
    </w:p>
    <w:p>
      <w:pPr>
        <w:spacing w:after="80" w:before="80" w:line="320"/>
        <w:jc w:val="both"/>
      </w:pPr>
      <w:r>
        <w:rPr>
          <w:rFonts w:ascii="Times New Roman" w:cs="Times New Roman" w:eastAsia="Times New Roman" w:hAnsi="Times New Roman"/>
          <w:color w:val="2C3E50"/>
          <w:sz w:val="22"/>
          <w:szCs w:val="22"/>
        </w:rPr>
        <w:t xml:space="preserve">Les erreurs sont renvoyées au format ProblemDetail par un @RestControllerAdvice (404, 422 pour une règle métier, 503 si account-service est indisponible).</w:t>
      </w:r>
    </w:p>
    <w:p>
      <w:pPr>
        <w:pStyle w:val="Heading2"/>
        <w:spacing w:after="100" w:before="200"/>
      </w:pPr>
      <w:r>
        <w:rPr>
          <w:rFonts w:ascii="Times New Roman" w:cs="Times New Roman" w:eastAsia="Times New Roman" w:hAnsi="Times New Roman"/>
          <w:b/>
          <w:bCs/>
          <w:color w:val="1E8449"/>
          <w:sz w:val="28"/>
          <w:szCs w:val="28"/>
        </w:rPr>
        <w:t xml:space="preserve">2.3 OpenFeign et Resilience4J</w:t>
      </w:r>
    </w:p>
    <w:p>
      <w:pPr>
        <w:spacing w:after="80" w:before="80" w:line="320"/>
        <w:jc w:val="both"/>
      </w:pPr>
      <w:r>
        <w:rPr>
          <w:rFonts w:ascii="Times New Roman" w:cs="Times New Roman" w:eastAsia="Times New Roman" w:hAnsi="Times New Roman"/>
          <w:color w:val="2C3E50"/>
          <w:sz w:val="22"/>
          <w:szCs w:val="22"/>
        </w:rPr>
        <w:t xml:space="preserve">transaction-service appelle account-service via un client OpenFeign résolu par Eureka. Le circuit breaker Resilience4J est activé sur le client Feign avec une FallbackFactory : une erreur fonctionnelle (4xx, par exemple compte introuvable) est propagée telle quelle, tandis qu'une panne technique (timeout, service arrêté, circuit ouvert) devient une AccountServiceUnavailableException traduite en 503. Aucun solde n'est inventé : l'opération est refusée.</w:t>
      </w:r>
    </w:p>
    <w:tbl>
      <w:tblPr>
        <w:tblW w:type="dxa" w:w="9206"/>
        <w:tblBorders>
          <w:top w:val="single" w:color="auto" w:sz="4"/>
          <w:left w:val="single" w:color="auto" w:sz="4"/>
          <w:bottom w:val="single" w:color="auto" w:sz="4"/>
          <w:right w:val="single" w:color="auto" w:sz="4"/>
          <w:insideH w:val="single" w:color="auto" w:sz="4"/>
          <w:insideV w:val="single" w:color="auto" w:sz="4"/>
        </w:tblBorders>
      </w:tblPr>
      <w:tblGrid>
        <w:gridCol w:w="3000"/>
        <w:gridCol w:w="6206"/>
      </w:tblGrid>
      <w:tr>
        <w:trPr>
          <w:tblHeader/>
        </w:trPr>
        <w:tc>
          <w:tcPr>
            <w:tcW w:type="dxa" w:w="30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Paramètre</w:t>
            </w:r>
          </w:p>
        </w:tc>
        <w:tc>
          <w:tcPr>
            <w:tcW w:type="dxa" w:w="6206"/>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Valeur</w:t>
            </w:r>
          </w:p>
        </w:tc>
      </w:tr>
      <w:tr>
        <w:tc>
          <w:tcPr>
            <w:tcW w:type="dxa" w:w="30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Fenêtre glissante</w:t>
            </w:r>
          </w:p>
        </w:tc>
        <w:tc>
          <w:tcPr>
            <w:tcW w:type="dxa" w:w="62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10 appels (minimum 5)</w:t>
            </w:r>
          </w:p>
        </w:tc>
      </w:tr>
      <w:tr>
        <w:tc>
          <w:tcPr>
            <w:tcW w:type="dxa" w:w="30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Seuil d'ouverture</w:t>
            </w:r>
          </w:p>
        </w:tc>
        <w:tc>
          <w:tcPr>
            <w:tcW w:type="dxa" w:w="62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50 % d'échecs</w:t>
            </w:r>
          </w:p>
        </w:tc>
      </w:tr>
      <w:tr>
        <w:tc>
          <w:tcPr>
            <w:tcW w:type="dxa" w:w="30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Durée circuit ouvert</w:t>
            </w:r>
          </w:p>
        </w:tc>
        <w:tc>
          <w:tcPr>
            <w:tcW w:type="dxa" w:w="62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10 s, puis 2 appels en semi-ouvert</w:t>
            </w:r>
          </w:p>
        </w:tc>
      </w:tr>
      <w:tr>
        <w:tc>
          <w:tcPr>
            <w:tcW w:type="dxa" w:w="30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Time limiter</w:t>
            </w:r>
          </w:p>
        </w:tc>
        <w:tc>
          <w:tcPr>
            <w:tcW w:type="dxa" w:w="62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3 s</w:t>
            </w:r>
          </w:p>
        </w:tc>
      </w:tr>
      <w:tr>
        <w:tc>
          <w:tcPr>
            <w:tcW w:type="dxa" w:w="30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Exceptions ignorées</w:t>
            </w:r>
          </w:p>
        </w:tc>
        <w:tc>
          <w:tcPr>
            <w:tcW w:type="dxa" w:w="62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NotFound, BadRequest, Conflict, UnprocessableEntity</w:t>
            </w:r>
          </w:p>
        </w:tc>
      </w:tr>
    </w:tbl>
    <w:p>
      <w:pPr>
        <w:spacing w:after="200" w:before="60"/>
        <w:jc w:val="center"/>
      </w:pPr>
      <w:r>
        <w:rPr>
          <w:rFonts w:ascii="Times New Roman" w:cs="Times New Roman" w:eastAsia="Times New Roman" w:hAnsi="Times New Roman"/>
          <w:i/>
          <w:iCs/>
          <w:color w:val="7F8C8D"/>
          <w:sz w:val="18"/>
          <w:szCs w:val="18"/>
        </w:rPr>
        <w:t xml:space="preserve">Tableau 2.2 — Configuration Resilience4J</w:t>
      </w:r>
    </w:p>
    <w:p>
      <w:pPr>
        <w:pStyle w:val="Heading1"/>
        <w:pageBreakBefore/>
        <w:spacing w:after="160" w:before="240"/>
      </w:pPr>
      <w:r>
        <w:rPr>
          <w:rFonts w:ascii="Times New Roman" w:cs="Times New Roman" w:eastAsia="Times New Roman" w:hAnsi="Times New Roman"/>
          <w:b/>
          <w:bCs/>
          <w:color w:val="C0392B"/>
          <w:sz w:val="36"/>
          <w:szCs w:val="36"/>
        </w:rPr>
        <w:t xml:space="preserve">Étape 3 : Communication asynchrone avec Kafka</w:t>
      </w:r>
    </w:p>
    <w:p>
      <w:pPr>
        <w:pStyle w:val="Heading2"/>
        <w:spacing w:after="100" w:before="200"/>
      </w:pPr>
      <w:r>
        <w:rPr>
          <w:rFonts w:ascii="Times New Roman" w:cs="Times New Roman" w:eastAsia="Times New Roman" w:hAnsi="Times New Roman"/>
          <w:b/>
          <w:bCs/>
          <w:color w:val="1E8449"/>
          <w:sz w:val="28"/>
          <w:szCs w:val="28"/>
        </w:rPr>
        <w:t xml:space="preserve">3.1 Publication après commit</w:t>
      </w:r>
    </w:p>
    <w:p>
      <w:pPr>
        <w:spacing w:after="80" w:before="80" w:line="320"/>
        <w:jc w:val="both"/>
      </w:pPr>
      <w:r>
        <w:rPr>
          <w:rFonts w:ascii="Times New Roman" w:cs="Times New Roman" w:eastAsia="Times New Roman" w:hAnsi="Times New Roman"/>
          <w:color w:val="2C3E50"/>
          <w:sz w:val="22"/>
          <w:szCs w:val="22"/>
        </w:rPr>
        <w:t xml:space="preserve">Après la persistance d'une transaction, le service publie un événement Spring applicatif. Un listener @TransactionalEventListener(phase = AFTER_COMMIT) l'envoie dans le topic bank.transactions.created (3 partitions) : si la transaction JPA est annulée, aucun événement n'est publié. La clé du message est accountId, ce qui garantit l'ordre des événements d'un même compte dans une partition.</w:t>
      </w:r>
    </w:p>
    <w:p>
      <w:pPr>
        <w:spacing w:after="160" w:before="160"/>
        <w:jc w:val="center"/>
      </w:pPr>
      <w:r>
        <w:rPr>
          <w:rFonts w:ascii="Courier New" w:cs="Courier New" w:eastAsia="Courier New" w:hAnsi="Courier New"/>
          <w:b/>
          <w:bCs/>
          <w:color w:val="1A1A1A"/>
          <w:sz w:val="20"/>
          <w:szCs w:val="20"/>
        </w:rPr>
        <w:t xml:space="preserve">{"eventId","eventType":"TransactionCreated","transactionId","accountId","amount","currency","occurredAt"}</w:t>
      </w:r>
    </w:p>
    <w:p>
      <w:pPr>
        <w:pStyle w:val="Heading2"/>
        <w:spacing w:after="100" w:before="200"/>
      </w:pPr>
      <w:r>
        <w:rPr>
          <w:rFonts w:ascii="Times New Roman" w:cs="Times New Roman" w:eastAsia="Times New Roman" w:hAnsi="Times New Roman"/>
          <w:b/>
          <w:bCs/>
          <w:color w:val="1E8449"/>
          <w:sz w:val="28"/>
          <w:szCs w:val="28"/>
        </w:rPr>
        <w:t xml:space="preserve">3.2 audit-service</w:t>
      </w:r>
    </w:p>
    <w:p>
      <w:pPr>
        <w:spacing w:after="80" w:before="80" w:line="320"/>
        <w:jc w:val="both"/>
      </w:pPr>
      <w:r>
        <w:rPr>
          <w:rFonts w:ascii="Times New Roman" w:cs="Times New Roman" w:eastAsia="Times New Roman" w:hAnsi="Times New Roman"/>
          <w:color w:val="2C3E50"/>
          <w:sz w:val="22"/>
          <w:szCs w:val="22"/>
        </w:rPr>
        <w:t xml:space="preserve">audit-service consomme le topic (groupe audit-service), journalise chaque événement et le stocke dans sa propre base, sans jamais modifier les données bancaires. L'endpoint GET /api/audits expose les 100 derniers événements.</w:t>
      </w:r>
    </w:p>
    <w:p>
      <w:pPr>
        <w:pStyle w:val="Heading2"/>
        <w:spacing w:after="100" w:before="200"/>
      </w:pPr>
      <w:r>
        <w:rPr>
          <w:rFonts w:ascii="Times New Roman" w:cs="Times New Roman" w:eastAsia="Times New Roman" w:hAnsi="Times New Roman"/>
          <w:b/>
          <w:bCs/>
          <w:color w:val="1E8449"/>
          <w:sz w:val="28"/>
          <w:szCs w:val="28"/>
        </w:rPr>
        <w:t xml:space="preserve">3.3 Résultat</w:t>
      </w:r>
    </w:p>
    <w:p>
      <w:pPr>
        <w:spacing w:after="80" w:before="80" w:line="320"/>
        <w:jc w:val="both"/>
      </w:pPr>
      <w:r>
        <w:rPr>
          <w:rFonts w:ascii="Times New Roman" w:cs="Times New Roman" w:eastAsia="Times New Roman" w:hAnsi="Times New Roman"/>
          <w:color w:val="2C3E50"/>
          <w:sz w:val="22"/>
          <w:szCs w:val="22"/>
        </w:rPr>
        <w:t xml:space="preserve">Test réel : un paiement de 250 EUR sur CUST-001 via la passerelle a produit un événement TransactionCreated reçu par audit-service sur la partition 1, offset 0, avec la clé égale à l'accountId du compte.</w:t>
      </w:r>
    </w:p>
    <w:p>
      <w:pPr>
        <w:spacing w:after="40" w:before="120"/>
        <w:jc w:val="center"/>
      </w:pPr>
      <w:r>
        <w:drawing>
          <wp:inline distT="0" distB="0" distL="0" distR="0">
            <wp:extent cx="5667375" cy="3581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5814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7F8C8D"/>
          <w:sz w:val="18"/>
          <w:szCs w:val="18"/>
        </w:rPr>
        <w:t xml:space="preserve">Figure 3.1 — Journal d'audit alimenté par Kafka</w:t>
      </w:r>
    </w:p>
    <w:p>
      <w:pPr>
        <w:pStyle w:val="Heading1"/>
        <w:pageBreakBefore/>
        <w:spacing w:after="160" w:before="240"/>
      </w:pPr>
      <w:r>
        <w:rPr>
          <w:rFonts w:ascii="Times New Roman" w:cs="Times New Roman" w:eastAsia="Times New Roman" w:hAnsi="Times New Roman"/>
          <w:b/>
          <w:bCs/>
          <w:color w:val="C0392B"/>
          <w:sz w:val="36"/>
          <w:szCs w:val="36"/>
        </w:rPr>
        <w:t xml:space="preserve">Étape 4 : Chatbot agentique</w:t>
      </w:r>
    </w:p>
    <w:p>
      <w:pPr>
        <w:pStyle w:val="Heading2"/>
        <w:spacing w:after="100" w:before="200"/>
      </w:pPr>
      <w:r>
        <w:rPr>
          <w:rFonts w:ascii="Times New Roman" w:cs="Times New Roman" w:eastAsia="Times New Roman" w:hAnsi="Times New Roman"/>
          <w:b/>
          <w:bCs/>
          <w:color w:val="1E8449"/>
          <w:sz w:val="28"/>
          <w:szCs w:val="28"/>
        </w:rPr>
        <w:t xml:space="preserve">4.1 Principe</w:t>
      </w:r>
    </w:p>
    <w:p>
      <w:pPr>
        <w:spacing w:after="80" w:before="80" w:line="320"/>
        <w:jc w:val="both"/>
      </w:pPr>
      <w:r>
        <w:rPr>
          <w:rFonts w:ascii="Times New Roman" w:cs="Times New Roman" w:eastAsia="Times New Roman" w:hAnsi="Times New Roman"/>
          <w:color w:val="2C3E50"/>
          <w:sz w:val="22"/>
          <w:szCs w:val="22"/>
        </w:rPr>
        <w:t xml:space="preserve">L'agent n'utilise aucun modèle entraîné localement : il appelle un LLM distant (Groq, API compatible OpenAI) avec une simple clé d'API lue depuis .env (non versionné). Spring AI ChatClient lui fournit les tools du client MCP (transport SSE) connecté à account-service et transaction-service : 12 tools MCP sont chargés au démarrage. Le prompt système lui interdit d'inventer un solde ou une transaction.</w:t>
      </w:r>
    </w:p>
    <w:p>
      <w:pPr>
        <w:pStyle w:val="Heading2"/>
        <w:spacing w:after="100" w:before="200"/>
      </w:pPr>
      <w:r>
        <w:rPr>
          <w:rFonts w:ascii="Times New Roman" w:cs="Times New Roman" w:eastAsia="Times New Roman" w:hAnsi="Times New Roman"/>
          <w:b/>
          <w:bCs/>
          <w:color w:val="1E8449"/>
          <w:sz w:val="28"/>
          <w:szCs w:val="28"/>
        </w:rPr>
        <w:t xml:space="preserve">4.2 Problèmes résolus</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Spring AI 2 utilise le SDK officiel OpenAI : l'URL de base doit se terminer par /v1 (sinon 404 sur /openai/chat/completions).</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openai/gpt-oss-120b a été rejeté par Groq lors du tour suivant l'appel de tool (propriété reasoning_content non supportée) ; le modèle retenu est qwen/qwen3.8-27b.</w:t>
      </w:r>
    </w:p>
    <w:p>
      <w:pPr>
        <w:pStyle w:val="Heading2"/>
        <w:spacing w:after="100" w:before="200"/>
      </w:pPr>
      <w:r>
        <w:rPr>
          <w:rFonts w:ascii="Times New Roman" w:cs="Times New Roman" w:eastAsia="Times New Roman" w:hAnsi="Times New Roman"/>
          <w:b/>
          <w:bCs/>
          <w:color w:val="1E8449"/>
          <w:sz w:val="28"/>
          <w:szCs w:val="28"/>
        </w:rPr>
        <w:t xml:space="preserve">4.3 Tests réels</w:t>
      </w:r>
    </w:p>
    <w:tbl>
      <w:tblPr>
        <w:tblW w:type="dxa" w:w="9206"/>
        <w:tblBorders>
          <w:top w:val="single" w:color="auto" w:sz="4"/>
          <w:left w:val="single" w:color="auto" w:sz="4"/>
          <w:bottom w:val="single" w:color="auto" w:sz="4"/>
          <w:right w:val="single" w:color="auto" w:sz="4"/>
          <w:insideH w:val="single" w:color="auto" w:sz="4"/>
          <w:insideV w:val="single" w:color="auto" w:sz="4"/>
        </w:tblBorders>
      </w:tblPr>
      <w:tblGrid>
        <w:gridCol w:w="3800"/>
        <w:gridCol w:w="5406"/>
      </w:tblGrid>
      <w:tr>
        <w:trPr>
          <w:tblHeader/>
        </w:trPr>
        <w:tc>
          <w:tcPr>
            <w:tcW w:type="dxa" w:w="3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Question</w:t>
            </w:r>
          </w:p>
        </w:tc>
        <w:tc>
          <w:tcPr>
            <w:tcW w:type="dxa" w:w="5406"/>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Réponse de l'agent</w:t>
            </w:r>
          </w:p>
        </w:tc>
      </w:tr>
      <w:tr>
        <w:tc>
          <w:tcPr>
            <w:tcW w:type="dxa" w:w="38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Quel est le solde de CUST-001 ?</w:t>
            </w:r>
          </w:p>
        </w:tc>
        <w:tc>
          <w:tcPr>
            <w:tcW w:type="dxa" w:w="54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Le solde du compte CUST-001 est de 4 750,00 EUR (statut : actif).</w:t>
            </w:r>
          </w:p>
        </w:tc>
      </w:tr>
      <w:tr>
        <w:tc>
          <w:tcPr>
            <w:tcW w:type="dxa" w:w="38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Fais un virement de 100 EUR de CUST-001 vers CUST-002, puis donne les deux soldes.</w:t>
            </w:r>
          </w:p>
        </w:tc>
        <w:tc>
          <w:tcPr>
            <w:tcW w:type="dxa" w:w="54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Virement effectué ; CUST-001 : 4 650,00 EUR, CUST-002 : 1 300,00 EUR.</w:t>
            </w:r>
          </w:p>
        </w:tc>
      </w:tr>
    </w:tbl>
    <w:p>
      <w:pPr>
        <w:spacing w:after="200" w:before="60"/>
        <w:jc w:val="center"/>
      </w:pPr>
      <w:r>
        <w:rPr>
          <w:rFonts w:ascii="Times New Roman" w:cs="Times New Roman" w:eastAsia="Times New Roman" w:hAnsi="Times New Roman"/>
          <w:i/>
          <w:iCs/>
          <w:color w:val="7F8C8D"/>
          <w:sz w:val="18"/>
          <w:szCs w:val="18"/>
        </w:rPr>
        <w:t xml:space="preserve">Tableau 4.1 — Échanges réels avec l'agent (endpoint POST /api/chat)</w:t>
      </w:r>
    </w:p>
    <w:p>
      <w:pPr>
        <w:spacing w:after="40" w:before="120"/>
        <w:jc w:val="center"/>
      </w:pPr>
      <w:r>
        <w:drawing>
          <wp:inline distT="0" distB="0" distL="0" distR="0">
            <wp:extent cx="5667375" cy="3581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5814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7F8C8D"/>
          <w:sz w:val="18"/>
          <w:szCs w:val="18"/>
        </w:rPr>
        <w:t xml:space="preserve">Figure 4.1 — Assistant IA dans le client Angular</w:t>
      </w:r>
    </w:p>
    <w:p>
      <w:pPr>
        <w:pStyle w:val="Heading1"/>
        <w:pageBreakBefore/>
        <w:spacing w:after="160" w:before="240"/>
      </w:pPr>
      <w:r>
        <w:rPr>
          <w:rFonts w:ascii="Times New Roman" w:cs="Times New Roman" w:eastAsia="Times New Roman" w:hAnsi="Times New Roman"/>
          <w:b/>
          <w:bCs/>
          <w:color w:val="C0392B"/>
          <w:sz w:val="36"/>
          <w:szCs w:val="36"/>
        </w:rPr>
        <w:t xml:space="preserve">Étape 5 : Client Angular</w:t>
      </w:r>
    </w:p>
    <w:p>
      <w:pPr>
        <w:spacing w:after="80" w:before="80" w:line="320"/>
        <w:jc w:val="both"/>
      </w:pPr>
      <w:r>
        <w:rPr>
          <w:rFonts w:ascii="Times New Roman" w:cs="Times New Roman" w:eastAsia="Times New Roman" w:hAnsi="Times New Roman"/>
          <w:color w:val="2C3E50"/>
          <w:sz w:val="22"/>
          <w:szCs w:val="22"/>
        </w:rPr>
        <w:t xml:space="preserve">Le client Angular 22 (thème blanc et bleu ciel) propose cinq onglets : Comptes (liste, création, blocage/activation), Opérations (paiement, dépôt, virement), Historique (filtrable par compte), Audit (événements Kafka) et Assistant. En développement, un proxy redirige /api/accounts et /api/transactions vers la passerelle, /api/audits vers audit-service et /api/chat vers le chatbot.</w:t>
      </w:r>
    </w:p>
    <w:p>
      <w:pPr>
        <w:spacing w:after="40" w:before="120"/>
        <w:jc w:val="center"/>
      </w:pPr>
      <w:r>
        <w:drawing>
          <wp:inline distT="0" distB="0" distL="0" distR="0">
            <wp:extent cx="5667375" cy="3581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5814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7F8C8D"/>
          <w:sz w:val="18"/>
          <w:szCs w:val="18"/>
        </w:rPr>
        <w:t xml:space="preserve">Figure 5.1 — Tableau de bord des comptes</w:t>
      </w:r>
    </w:p>
    <w:p>
      <w:pPr>
        <w:spacing w:after="40" w:before="120"/>
        <w:jc w:val="center"/>
      </w:pPr>
      <w:r>
        <w:drawing>
          <wp:inline distT="0" distB="0" distL="0" distR="0">
            <wp:extent cx="5667375" cy="35814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5814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7F8C8D"/>
          <w:sz w:val="18"/>
          <w:szCs w:val="18"/>
        </w:rPr>
        <w:t xml:space="preserve">Figure 5.2 — Formulaire d'opération</w:t>
      </w:r>
    </w:p>
    <w:p>
      <w:pPr>
        <w:spacing w:after="40" w:before="120"/>
        <w:jc w:val="center"/>
      </w:pPr>
      <w:r>
        <w:drawing>
          <wp:inline distT="0" distB="0" distL="0" distR="0">
            <wp:extent cx="5667375" cy="35814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5814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7F8C8D"/>
          <w:sz w:val="18"/>
          <w:szCs w:val="18"/>
        </w:rPr>
        <w:t xml:space="preserve">Figure 5.3 — Historique des transactions</w:t>
      </w:r>
    </w:p>
    <w:p>
      <w:pPr>
        <w:pStyle w:val="Heading1"/>
        <w:pageBreakBefore/>
        <w:spacing w:after="160" w:before="240"/>
      </w:pPr>
      <w:r>
        <w:rPr>
          <w:rFonts w:ascii="Times New Roman" w:cs="Times New Roman" w:eastAsia="Times New Roman" w:hAnsi="Times New Roman"/>
          <w:b/>
          <w:bCs/>
          <w:color w:val="C0392B"/>
          <w:sz w:val="36"/>
          <w:szCs w:val="36"/>
        </w:rPr>
        <w:t xml:space="preserve">Étape 6 : Sécurité, tests et Git</w:t>
      </w:r>
    </w:p>
    <w:p>
      <w:pPr>
        <w:pStyle w:val="Heading2"/>
        <w:spacing w:after="100" w:before="200"/>
      </w:pPr>
      <w:r>
        <w:rPr>
          <w:rFonts w:ascii="Times New Roman" w:cs="Times New Roman" w:eastAsia="Times New Roman" w:hAnsi="Times New Roman"/>
          <w:b/>
          <w:bCs/>
          <w:color w:val="1E8449"/>
          <w:sz w:val="28"/>
          <w:szCs w:val="28"/>
        </w:rPr>
        <w:t xml:space="preserve">6.1 Sécurité Keycloak</w:t>
      </w:r>
    </w:p>
    <w:p>
      <w:pPr>
        <w:spacing w:after="80" w:before="80" w:line="320"/>
        <w:jc w:val="both"/>
      </w:pPr>
      <w:r>
        <w:rPr>
          <w:rFonts w:ascii="Times New Roman" w:cs="Times New Roman" w:eastAsia="Times New Roman" w:hAnsi="Times New Roman"/>
          <w:color w:val="2C3E50"/>
          <w:sz w:val="22"/>
          <w:szCs w:val="22"/>
        </w:rPr>
        <w:t xml:space="preserve">La sécurité a été ajoutée en dernier, conformément à la démarche choisie (fonctionnel d'abord) : Keycloak 26.2 dans docker-compose, realm bank-realm importé depuis keycloak/bank-realm-realm.json, client public bank-front pour le front, rôles USER et ADMIN. Les services sont configurés en OAuth2 Resource Server JWT, activable via la propriété app.security.enabled.</w:t>
      </w:r>
    </w:p>
    <w:p>
      <w:pPr>
        <w:pStyle w:val="Heading2"/>
        <w:spacing w:after="100" w:before="200"/>
      </w:pPr>
      <w:r>
        <w:rPr>
          <w:rFonts w:ascii="Times New Roman" w:cs="Times New Roman" w:eastAsia="Times New Roman" w:hAnsi="Times New Roman"/>
          <w:b/>
          <w:bCs/>
          <w:color w:val="1E8449"/>
          <w:sz w:val="28"/>
          <w:szCs w:val="28"/>
        </w:rPr>
        <w:t xml:space="preserve">6.2 Tests</w:t>
      </w:r>
    </w:p>
    <w:tbl>
      <w:tblPr>
        <w:tblW w:type="dxa" w:w="920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3006"/>
      </w:tblGrid>
      <w:tr>
        <w:trPr>
          <w:tblHeader/>
        </w:trPr>
        <w:tc>
          <w:tcPr>
            <w:tcW w:type="dxa" w:w="44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Module</w:t>
            </w:r>
          </w:p>
        </w:tc>
        <w:tc>
          <w:tcPr>
            <w:tcW w:type="dxa" w:w="18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Tests</w:t>
            </w:r>
          </w:p>
        </w:tc>
        <w:tc>
          <w:tcPr>
            <w:tcW w:type="dxa" w:w="3006"/>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Résultat</w:t>
            </w:r>
          </w:p>
        </w:tc>
      </w:tr>
      <w:tr>
        <w:tc>
          <w:tcPr>
            <w:tcW w:type="dxa" w:w="4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account-service</w:t>
            </w:r>
          </w:p>
        </w:tc>
        <w:tc>
          <w:tcPr>
            <w:tcW w:type="dxa" w:w="18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19</w:t>
            </w:r>
          </w:p>
        </w:tc>
        <w:tc>
          <w:tcPr>
            <w:tcW w:type="dxa" w:w="30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OK</w:t>
            </w:r>
          </w:p>
        </w:tc>
      </w:tr>
      <w:tr>
        <w:tc>
          <w:tcPr>
            <w:tcW w:type="dxa" w:w="44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transaction-service</w:t>
            </w:r>
          </w:p>
        </w:tc>
        <w:tc>
          <w:tcPr>
            <w:tcW w:type="dxa" w:w="18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12</w:t>
            </w:r>
          </w:p>
        </w:tc>
        <w:tc>
          <w:tcPr>
            <w:tcW w:type="dxa" w:w="30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OK</w:t>
            </w:r>
          </w:p>
        </w:tc>
      </w:tr>
      <w:tr>
        <w:tc>
          <w:tcPr>
            <w:tcW w:type="dxa" w:w="4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audit-service</w:t>
            </w:r>
          </w:p>
        </w:tc>
        <w:tc>
          <w:tcPr>
            <w:tcW w:type="dxa" w:w="18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1</w:t>
            </w:r>
          </w:p>
        </w:tc>
        <w:tc>
          <w:tcPr>
            <w:tcW w:type="dxa" w:w="30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OK</w:t>
            </w:r>
          </w:p>
        </w:tc>
      </w:tr>
      <w:tr>
        <w:tc>
          <w:tcPr>
            <w:tcW w:type="dxa" w:w="44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Config-service</w:t>
            </w:r>
          </w:p>
        </w:tc>
        <w:tc>
          <w:tcPr>
            <w:tcW w:type="dxa" w:w="18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1</w:t>
            </w:r>
          </w:p>
        </w:tc>
        <w:tc>
          <w:tcPr>
            <w:tcW w:type="dxa" w:w="30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OK</w:t>
            </w:r>
          </w:p>
        </w:tc>
      </w:tr>
      <w:tr>
        <w:tc>
          <w:tcPr>
            <w:tcW w:type="dxa" w:w="4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discovery-service</w:t>
            </w:r>
          </w:p>
        </w:tc>
        <w:tc>
          <w:tcPr>
            <w:tcW w:type="dxa" w:w="18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1</w:t>
            </w:r>
          </w:p>
        </w:tc>
        <w:tc>
          <w:tcPr>
            <w:tcW w:type="dxa" w:w="30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OK</w:t>
            </w:r>
          </w:p>
        </w:tc>
      </w:tr>
      <w:tr>
        <w:tc>
          <w:tcPr>
            <w:tcW w:type="dxa" w:w="44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gatway-service</w:t>
            </w:r>
          </w:p>
        </w:tc>
        <w:tc>
          <w:tcPr>
            <w:tcW w:type="dxa" w:w="18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1</w:t>
            </w:r>
          </w:p>
        </w:tc>
        <w:tc>
          <w:tcPr>
            <w:tcW w:type="dxa" w:w="30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OK</w:t>
            </w:r>
          </w:p>
        </w:tc>
      </w:tr>
      <w:tr>
        <w:tc>
          <w:tcPr>
            <w:tcW w:type="dxa" w:w="4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Total (reactor Maven, 7 modules)</w:t>
            </w:r>
          </w:p>
        </w:tc>
        <w:tc>
          <w:tcPr>
            <w:tcW w:type="dxa" w:w="18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34</w:t>
            </w:r>
          </w:p>
        </w:tc>
        <w:tc>
          <w:tcPr>
            <w:tcW w:type="dxa" w:w="30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BUILD SUCCESS</w:t>
            </w:r>
          </w:p>
        </w:tc>
      </w:tr>
    </w:tbl>
    <w:p>
      <w:pPr>
        <w:spacing w:after="200" w:before="60"/>
        <w:jc w:val="center"/>
      </w:pPr>
      <w:r>
        <w:rPr>
          <w:rFonts w:ascii="Times New Roman" w:cs="Times New Roman" w:eastAsia="Times New Roman" w:hAnsi="Times New Roman"/>
          <w:i/>
          <w:iCs/>
          <w:color w:val="7F8C8D"/>
          <w:sz w:val="18"/>
          <w:szCs w:val="18"/>
        </w:rPr>
        <w:t xml:space="preserve">Tableau 6.1 — Résultats de mvn test</w:t>
      </w:r>
    </w:p>
    <w:p>
      <w:pPr>
        <w:pStyle w:val="Heading2"/>
        <w:spacing w:after="100" w:before="200"/>
      </w:pPr>
      <w:r>
        <w:rPr>
          <w:rFonts w:ascii="Times New Roman" w:cs="Times New Roman" w:eastAsia="Times New Roman" w:hAnsi="Times New Roman"/>
          <w:b/>
          <w:bCs/>
          <w:color w:val="1E8449"/>
          <w:sz w:val="28"/>
          <w:szCs w:val="28"/>
        </w:rPr>
        <w:t xml:space="preserve">6.3 Historique Git</w:t>
      </w:r>
    </w:p>
    <w:p>
      <w:pPr>
        <w:spacing w:after="80" w:before="80" w:line="320"/>
        <w:jc w:val="both"/>
      </w:pPr>
      <w:r>
        <w:rPr>
          <w:rFonts w:ascii="Times New Roman" w:cs="Times New Roman" w:eastAsia="Times New Roman" w:hAnsi="Times New Roman"/>
          <w:color w:val="2C3E50"/>
          <w:sz w:val="22"/>
          <w:szCs w:val="22"/>
        </w:rPr>
        <w:t xml:space="preserve">Un commit a été fait par fonctionnalité :</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POM agrégateur pour la détection des modules par IntelliJ.</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Publication Kafka après commit dans transaction-service.</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audit-service (consumer Kafka).</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chat-bot-service (LLM via clé d'API + tools MCP).</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Client Angular.</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Circuit breaker Resilience4J et fallback Feign.</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docker-compose avec Kafka KRaft.</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Correctifs du chatbot (URL /v1, modèle) et scripts de lancement.</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Sécurité Keycloak.</w:t>
      </w:r>
    </w:p>
    <w:p>
      <w:pPr>
        <w:pStyle w:val="Heading1"/>
        <w:pageBreakBefore/>
        <w:spacing w:after="160" w:before="240"/>
      </w:pPr>
      <w:r>
        <w:rPr>
          <w:rFonts w:ascii="Times New Roman" w:cs="Times New Roman" w:eastAsia="Times New Roman" w:hAnsi="Times New Roman"/>
          <w:b/>
          <w:bCs/>
          <w:color w:val="C0392B"/>
          <w:sz w:val="36"/>
          <w:szCs w:val="36"/>
        </w:rPr>
        <w:t xml:space="preserve">Conclusion et Perspectives</w:t>
      </w:r>
    </w:p>
    <w:p>
      <w:pPr>
        <w:pStyle w:val="Heading2"/>
        <w:spacing w:after="100" w:before="200"/>
      </w:pPr>
      <w:r>
        <w:rPr>
          <w:rFonts w:ascii="Times New Roman" w:cs="Times New Roman" w:eastAsia="Times New Roman" w:hAnsi="Times New Roman"/>
          <w:b/>
          <w:bCs/>
          <w:color w:val="1E8449"/>
          <w:sz w:val="28"/>
          <w:szCs w:val="28"/>
        </w:rPr>
        <w:t xml:space="preserve">7.1 Bilan du Projet</w:t>
      </w:r>
    </w:p>
    <w:p>
      <w:pPr>
        <w:pStyle w:val="ListParagraph"/>
        <w:numPr>
          <w:ilvl w:val="0"/>
          <w:numId w:val="4"/>
        </w:numPr>
        <w:spacing w:after="40" w:before="40" w:line="300"/>
      </w:pPr>
      <w:r>
        <w:rPr>
          <w:rFonts w:ascii="Times New Roman" w:cs="Times New Roman" w:eastAsia="Times New Roman" w:hAnsi="Times New Roman"/>
          <w:color w:val="2C3E50"/>
          <w:sz w:val="22"/>
          <w:szCs w:val="22"/>
        </w:rPr>
        <w:t xml:space="preserve">Socle Spring Cloud complet : configuration centralisée, découverte, passerelle.</w:t>
      </w:r>
    </w:p>
    <w:p>
      <w:pPr>
        <w:pStyle w:val="ListParagraph"/>
        <w:numPr>
          <w:ilvl w:val="0"/>
          <w:numId w:val="4"/>
        </w:numPr>
        <w:spacing w:after="40" w:before="40" w:line="300"/>
      </w:pPr>
      <w:r>
        <w:rPr>
          <w:rFonts w:ascii="Times New Roman" w:cs="Times New Roman" w:eastAsia="Times New Roman" w:hAnsi="Times New Roman"/>
          <w:color w:val="2C3E50"/>
          <w:sz w:val="22"/>
          <w:szCs w:val="22"/>
        </w:rPr>
        <w:t xml:space="preserve">Deux services métier exposant la même logique en REST, GraphQL et MCP, avec règles métier testées.</w:t>
      </w:r>
    </w:p>
    <w:p>
      <w:pPr>
        <w:pStyle w:val="ListParagraph"/>
        <w:numPr>
          <w:ilvl w:val="0"/>
          <w:numId w:val="4"/>
        </w:numPr>
        <w:spacing w:after="40" w:before="40" w:line="300"/>
      </w:pPr>
      <w:r>
        <w:rPr>
          <w:rFonts w:ascii="Times New Roman" w:cs="Times New Roman" w:eastAsia="Times New Roman" w:hAnsi="Times New Roman"/>
          <w:color w:val="2C3E50"/>
          <w:sz w:val="22"/>
          <w:szCs w:val="22"/>
        </w:rPr>
        <w:t xml:space="preserve">Communication synchrone résiliente (Feign + Resilience4J) et asynchrone (Kafka + audit).</w:t>
      </w:r>
    </w:p>
    <w:p>
      <w:pPr>
        <w:pStyle w:val="ListParagraph"/>
        <w:numPr>
          <w:ilvl w:val="0"/>
          <w:numId w:val="4"/>
        </w:numPr>
        <w:spacing w:after="40" w:before="40" w:line="300"/>
      </w:pPr>
      <w:r>
        <w:rPr>
          <w:rFonts w:ascii="Times New Roman" w:cs="Times New Roman" w:eastAsia="Times New Roman" w:hAnsi="Times New Roman"/>
          <w:color w:val="2C3E50"/>
          <w:sz w:val="22"/>
          <w:szCs w:val="22"/>
        </w:rPr>
        <w:t xml:space="preserve">Agent IA opérationnel sur données réelles, client Angular et sécurité Keycloak.</w:t>
      </w:r>
    </w:p>
    <w:p>
      <w:pPr>
        <w:pStyle w:val="Heading2"/>
        <w:spacing w:after="100" w:before="200"/>
      </w:pPr>
      <w:r>
        <w:rPr>
          <w:rFonts w:ascii="Times New Roman" w:cs="Times New Roman" w:eastAsia="Times New Roman" w:hAnsi="Times New Roman"/>
          <w:b/>
          <w:bCs/>
          <w:color w:val="1E8449"/>
          <w:sz w:val="28"/>
          <w:szCs w:val="28"/>
        </w:rPr>
        <w:t xml:space="preserve">7.2 Limites et Perspectives</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Partie H (détection de fraude) non réalisée faute de temps, la consigne étant de ne pas entraîner de modèle pendant l'épreuve. La démarche prévue : séparation stratifiée train/test, pipeline de prétraitement, seuil de décision choisi uniquement sur le train, évaluation par précision, rappel, F1 et matrice de confusion (classes déséquilibrées).</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Bases H2 en mémoire : passer à PostgreSQL pour la persistance.</w:t>
      </w:r>
    </w:p>
    <w:p>
      <w:pPr>
        <w:pStyle w:val="ListParagraph"/>
        <w:numPr>
          <w:ilvl w:val="0"/>
          <w:numId w:val="3"/>
        </w:numPr>
        <w:spacing w:after="40" w:before="40" w:line="300"/>
        <w:jc w:val="both"/>
      </w:pPr>
      <w:r>
        <w:rPr>
          <w:rFonts w:ascii="Times New Roman" w:cs="Times New Roman" w:eastAsia="Times New Roman" w:hAnsi="Times New Roman"/>
          <w:color w:val="2C3E50"/>
          <w:sz w:val="22"/>
          <w:szCs w:val="22"/>
        </w:rPr>
        <w:t xml:space="preserve">Conteneurisation des micro-services et pipeline CI/CD à compléter (seuls Kafka et Keycloak sont dans docker-compose).</w:t>
      </w:r>
    </w:p>
    <w:p>
      <w:pPr>
        <w:pStyle w:val="Heading2"/>
        <w:spacing w:after="100" w:before="200"/>
      </w:pPr>
      <w:r>
        <w:rPr>
          <w:rFonts w:ascii="Times New Roman" w:cs="Times New Roman" w:eastAsia="Times New Roman" w:hAnsi="Times New Roman"/>
          <w:b/>
          <w:bCs/>
          <w:color w:val="1E8449"/>
          <w:sz w:val="28"/>
          <w:szCs w:val="28"/>
        </w:rPr>
        <w:t xml:space="preserve">7.3 Recommandations Opérationnelles</w:t>
      </w:r>
    </w:p>
    <w:tbl>
      <w:tblPr>
        <w:tblW w:type="dxa" w:w="9206"/>
        <w:tblBorders>
          <w:top w:val="single" w:color="auto" w:sz="4"/>
          <w:left w:val="single" w:color="auto" w:sz="4"/>
          <w:bottom w:val="single" w:color="auto" w:sz="4"/>
          <w:right w:val="single" w:color="auto" w:sz="4"/>
          <w:insideH w:val="single" w:color="auto" w:sz="4"/>
          <w:insideV w:val="single" w:color="auto" w:sz="4"/>
        </w:tblBorders>
      </w:tblPr>
      <w:tblGrid>
        <w:gridCol w:w="2400"/>
        <w:gridCol w:w="6806"/>
      </w:tblGrid>
      <w:tr>
        <w:trPr>
          <w:tblHeader/>
        </w:trPr>
        <w:tc>
          <w:tcPr>
            <w:tcW w:type="dxa" w:w="2400"/>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Aspect</w:t>
            </w:r>
          </w:p>
        </w:tc>
        <w:tc>
          <w:tcPr>
            <w:tcW w:type="dxa" w:w="6806"/>
            <w:tcBorders>
              <w:top w:val="single" w:color="BDC3C7" w:sz="4"/>
              <w:left w:val="single" w:color="BDC3C7" w:sz="4"/>
              <w:bottom w:val="single" w:color="BDC3C7" w:sz="4"/>
              <w:right w:val="single" w:color="BDC3C7" w:sz="4"/>
            </w:tcBorders>
            <w:shd w:fill="2C3E50" w:color="auto" w:val="clear"/>
            <w:tcMar>
              <w:top w:type="dxa" w:w="100"/>
              <w:left w:type="dxa" w:w="140"/>
              <w:bottom w:type="dxa" w:w="100"/>
              <w:right w:type="dxa" w:w="140"/>
            </w:tcMar>
            <w:vAlign w:val="center"/>
          </w:tcPr>
          <w:p>
            <w:pPr>
              <w:jc w:val="center"/>
            </w:pPr>
            <w:r>
              <w:rPr>
                <w:rFonts w:ascii="Times New Roman" w:cs="Times New Roman" w:eastAsia="Times New Roman" w:hAnsi="Times New Roman"/>
                <w:b/>
                <w:bCs/>
                <w:color w:val="FFFFFF"/>
                <w:sz w:val="20"/>
                <w:szCs w:val="20"/>
              </w:rPr>
              <w:t xml:space="preserve">Recommandation</w:t>
            </w:r>
          </w:p>
        </w:tc>
      </w:tr>
      <w:tr>
        <w:tc>
          <w:tcPr>
            <w:tcW w:type="dxa" w:w="2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Démarrage</w:t>
            </w:r>
          </w:p>
        </w:tc>
        <w:tc>
          <w:tcPr>
            <w:tcW w:type="dxa" w:w="68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Lancer docker-compose puis scripts/start-all.sh (ordre : config, discovery, services, gateway, chatbot).</w:t>
            </w:r>
          </w:p>
        </w:tc>
      </w:tr>
      <w:tr>
        <w:tc>
          <w:tcPr>
            <w:tcW w:type="dxa" w:w="2400"/>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Clé LLM</w:t>
            </w:r>
          </w:p>
        </w:tc>
        <w:tc>
          <w:tcPr>
            <w:tcW w:type="dxa" w:w="6806"/>
            <w:tcBorders>
              <w:top w:val="single" w:color="BDC3C7" w:sz="4"/>
              <w:left w:val="single" w:color="BDC3C7" w:sz="4"/>
              <w:bottom w:val="single" w:color="BDC3C7" w:sz="4"/>
              <w:right w:val="single" w:color="BDC3C7" w:sz="4"/>
            </w:tcBorders>
            <w:shd w:fill="EBF5FB"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À placer dans .env (jamais dans Git) ; modèle configurable via LLM_MODEL.</w:t>
            </w:r>
          </w:p>
        </w:tc>
      </w:tr>
      <w:tr>
        <w:tc>
          <w:tcPr>
            <w:tcW w:type="dxa" w:w="2400"/>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Chatbot</w:t>
            </w:r>
          </w:p>
        </w:tc>
        <w:tc>
          <w:tcPr>
            <w:tcW w:type="dxa" w:w="6806"/>
            <w:tcBorders>
              <w:top w:val="single" w:color="BDC3C7" w:sz="4"/>
              <w:left w:val="single" w:color="BDC3C7" w:sz="4"/>
              <w:bottom w:val="single" w:color="BDC3C7" w:sz="4"/>
              <w:right w:val="single" w:color="BDC3C7" w:sz="4"/>
            </w:tcBorders>
            <w:shd w:fill="FFFFFF" w:color="auto" w:val="clear"/>
            <w:tcMar>
              <w:top w:type="dxa" w:w="100"/>
              <w:left w:type="dxa" w:w="140"/>
              <w:bottom w:type="dxa" w:w="100"/>
              <w:right w:type="dxa" w:w="140"/>
            </w:tcMar>
            <w:vAlign w:val="center"/>
          </w:tcPr>
          <w:p>
            <w:pPr>
              <w:jc w:val="left"/>
            </w:pPr>
            <w:r>
              <w:rPr>
                <w:rFonts w:ascii="Times New Roman" w:cs="Times New Roman" w:eastAsia="Times New Roman" w:hAnsi="Times New Roman"/>
                <w:b w:val="false"/>
                <w:bCs w:val="false"/>
                <w:color w:val="2C3E50"/>
                <w:sz w:val="20"/>
                <w:szCs w:val="20"/>
              </w:rPr>
              <w:t xml:space="preserve">Redémarrer le chatbot si un service MCP redémarre (connexion MCP établie au démarrage).</w:t>
            </w:r>
          </w:p>
        </w:tc>
      </w:tr>
    </w:tbl>
    <w:p>
      <w:pPr>
        <w:spacing w:after="200" w:before="60"/>
        <w:jc w:val="center"/>
      </w:pPr>
      <w:r>
        <w:rPr>
          <w:rFonts w:ascii="Times New Roman" w:cs="Times New Roman" w:eastAsia="Times New Roman" w:hAnsi="Times New Roman"/>
          <w:i/>
          <w:iCs/>
          <w:color w:val="7F8C8D"/>
          <w:sz w:val="18"/>
          <w:szCs w:val="18"/>
        </w:rPr>
        <w:t xml:space="preserve">Tableau 7.1 — Recommandations</w:t>
      </w:r>
    </w:p>
    <w:p>
      <w:pPr>
        <w:pStyle w:val="Heading1"/>
        <w:pageBreakBefore/>
        <w:spacing w:after="160" w:before="240"/>
      </w:pPr>
      <w:r>
        <w:rPr>
          <w:rFonts w:ascii="Times New Roman" w:cs="Times New Roman" w:eastAsia="Times New Roman" w:hAnsi="Times New Roman"/>
          <w:b/>
          <w:bCs/>
          <w:color w:val="C0392B"/>
          <w:sz w:val="36"/>
          <w:szCs w:val="36"/>
        </w:rPr>
        <w:t xml:space="preserve">Références Bibliographiques</w:t>
      </w:r>
    </w:p>
    <w:p>
      <w:pPr>
        <w:spacing w:after="80" w:before="80" w:line="320"/>
        <w:jc w:val="both"/>
      </w:pPr>
      <w:r>
        <w:rPr>
          <w:rFonts w:ascii="Times New Roman" w:cs="Times New Roman" w:eastAsia="Times New Roman" w:hAnsi="Times New Roman"/>
          <w:i/>
          <w:iCs/>
          <w:color w:val="2C3E50"/>
          <w:sz w:val="22"/>
          <w:szCs w:val="22"/>
        </w:rPr>
        <w:t xml:space="preserve">[1] Spring Cloud — documentation de référence (Gateway, OpenFeign, Config, Netflix Eureka).</w:t>
      </w:r>
    </w:p>
    <w:p>
      <w:pPr>
        <w:spacing w:after="80" w:before="80" w:line="320"/>
        <w:jc w:val="both"/>
      </w:pPr>
      <w:r>
        <w:rPr>
          <w:rFonts w:ascii="Times New Roman" w:cs="Times New Roman" w:eastAsia="Times New Roman" w:hAnsi="Times New Roman"/>
          <w:i/>
          <w:iCs/>
          <w:color w:val="2C3E50"/>
          <w:sz w:val="22"/>
          <w:szCs w:val="22"/>
        </w:rPr>
        <w:t xml:space="preserve">[2] Resilience4J — documentation CircuitBreaker et TimeLimiter.</w:t>
      </w:r>
    </w:p>
    <w:p>
      <w:pPr>
        <w:spacing w:after="80" w:before="80" w:line="320"/>
        <w:jc w:val="both"/>
      </w:pPr>
      <w:r>
        <w:rPr>
          <w:rFonts w:ascii="Times New Roman" w:cs="Times New Roman" w:eastAsia="Times New Roman" w:hAnsi="Times New Roman"/>
          <w:i/>
          <w:iCs/>
          <w:color w:val="2C3E50"/>
          <w:sz w:val="22"/>
          <w:szCs w:val="22"/>
        </w:rPr>
        <w:t xml:space="preserve">[3] Apache Kafka 3.9 — documentation, mode KRaft.</w:t>
      </w:r>
    </w:p>
    <w:p>
      <w:pPr>
        <w:spacing w:after="80" w:before="80" w:line="320"/>
        <w:jc w:val="both"/>
      </w:pPr>
      <w:r>
        <w:rPr>
          <w:rFonts w:ascii="Times New Roman" w:cs="Times New Roman" w:eastAsia="Times New Roman" w:hAnsi="Times New Roman"/>
          <w:i/>
          <w:iCs/>
          <w:color w:val="2C3E50"/>
          <w:sz w:val="22"/>
          <w:szCs w:val="22"/>
        </w:rPr>
        <w:t xml:space="preserve">[4] Spring AI 2.0 — ChatClient, MCP Server et MCP Client.</w:t>
      </w:r>
    </w:p>
    <w:p>
      <w:pPr>
        <w:spacing w:after="80" w:before="80" w:line="320"/>
        <w:jc w:val="both"/>
      </w:pPr>
      <w:r>
        <w:rPr>
          <w:rFonts w:ascii="Times New Roman" w:cs="Times New Roman" w:eastAsia="Times New Roman" w:hAnsi="Times New Roman"/>
          <w:i/>
          <w:iCs/>
          <w:color w:val="2C3E50"/>
          <w:sz w:val="22"/>
          <w:szCs w:val="22"/>
        </w:rPr>
        <w:t xml:space="preserve">[5] Keycloak 26 — Server Administration Guide.</w:t>
      </w:r>
    </w:p>
    <w:sectPr>
      <w:headerReference w:type="default" r:id="rId6"/>
      <w:footerReference w:type="default" r:id="rId7"/>
      <w:pgSz w:w="11906" w:h="16838" w:orient="portrait"/>
      <w:pgMar w:top="1440" w:right="126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8449" w:sz="6" w:space="4"/>
      </w:pBdr>
    </w:pPr>
    <w:r>
      <w:rPr>
        <w:rFonts w:ascii="Times New Roman" w:cs="Times New Roman" w:eastAsia="Times New Roman" w:hAnsi="Times New Roman"/>
        <w:color w:val="7F8C8D"/>
        <w:sz w:val="18"/>
        <w:szCs w:val="18"/>
      </w:rPr>
      <w:t xml:space="preserve">Plateforme bancaire distribuée — Page </w:t>
    </w:r>
    <w:r>
      <w:rPr>
        <w:rFonts w:ascii="Times New Roman" w:cs="Times New Roman" w:eastAsia="Times New Roman" w:hAnsi="Times New Roman"/>
        <w:color w:val="1A5276"/>
        <w:sz w:val="18"/>
        <w:szCs w:val="18"/>
      </w:rPr>
      <w:fldChar w:fldCharType="begin"/>
      <w:instrText xml:space="preserve">PAGE</w:instrText>
      <w:fldChar w:fldCharType="separate"/>
      <w:fldChar w:fldCharType="end"/>
    </w:r>
    <w:r>
      <w:rPr>
        <w:rFonts w:ascii="Times New Roman" w:cs="Times New Roman" w:eastAsia="Times New Roman" w:hAnsi="Times New Roman"/>
        <w:color w:val="7F8C8D"/>
        <w:sz w:val="18"/>
        <w:szCs w:val="18"/>
      </w:rPr>
      <w:t xml:space="preserve"> / </w:t>
    </w:r>
    <w:r>
      <w:rPr>
        <w:rFonts w:ascii="Times New Roman" w:cs="Times New Roman" w:eastAsia="Times New Roman" w:hAnsi="Times New Roman"/>
        <w:color w:val="1A527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6" w:space="4"/>
      </w:pBdr>
    </w:pPr>
    <w:r>
      <w:rPr>
        <w:rFonts w:ascii="Times New Roman" w:cs="Times New Roman" w:eastAsia="Times New Roman" w:hAnsi="Times New Roman"/>
        <w:color w:val="1A5276"/>
        <w:sz w:val="18"/>
        <w:szCs w:val="18"/>
      </w:rPr>
      <w:t xml:space="preserve">ENSET Mohammedia — Test ADRIA 2027</w:t>
    </w:r>
    <w:r>
      <w:rPr>
        <w:rFonts w:ascii="Times New Roman" w:cs="Times New Roman" w:eastAsia="Times New Roman" w:hAnsi="Times New Roman"/>
        <w:color w:val="7F8C8D"/>
        <w:sz w:val="18"/>
        <w:szCs w:val="18"/>
      </w:rPr>
      <w:t xml:space="preserve"> | Badr Eddine TOUBANI | Master SDIA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C3E50"/>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C0392B"/>
      <w:sz w:val="36"/>
      <w:szCs w:val="36"/>
    </w:rPr>
  </w:style>
  <w:style w:type="paragraph" w:styleId="Heading2">
    <w:name w:val="Heading 2"/>
    <w:basedOn w:val="Normal"/>
    <w:next w:val="Normal"/>
    <w:qFormat/>
    <w:pPr>
      <w:outlineLvl w:val="1"/>
    </w:pPr>
    <w:rPr>
      <w:rFonts w:ascii="Times New Roman" w:cs="Times New Roman" w:eastAsia="Times New Roman" w:hAnsi="Times New Roman"/>
      <w:b/>
      <w:bCs/>
      <w:color w:val="1E8449"/>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color w:val="1A527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169e77e7bd23abce27cab08cc9f44fac8e30028.png"/><Relationship Id="rId10" Type="http://schemas.openxmlformats.org/officeDocument/2006/relationships/image" Target="media/0719d7d2d8ff9b97c1a84a99a55564ac5a047d11.png"/><Relationship Id="rId11" Type="http://schemas.openxmlformats.org/officeDocument/2006/relationships/image" Target="media/6e986dd18ac962fe7652cfd183345bef44a6e7ad.png"/><Relationship Id="rId12" Type="http://schemas.openxmlformats.org/officeDocument/2006/relationships/image" Target="media/e31ce9a41b1333001379fece744b392cb69bf1ad.png"/><Relationship Id="rId13" Type="http://schemas.openxmlformats.org/officeDocument/2006/relationships/image" Target="media/93000083a819244ffbb61a865905c1b9d1e6ca03.png"/><Relationship Id="rId14" Type="http://schemas.openxmlformats.org/officeDocument/2006/relationships/image" Target="media/0b80957aa044703bef1a1108c1d88b91e3d278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2026-10-30T11:26:36.258Z</dcterms:created>
  <dcterms:modified xsi:type="dcterms:W3CDTF">2026-10-30T11:26:36.258Z</dcterms:modified>
</cp:coreProperties>
</file>

<file path=docProps/custom.xml><?xml version="1.0" encoding="utf-8"?>
<Properties xmlns="http://schemas.openxmlformats.org/officeDocument/2006/custom-properties" xmlns:vt="http://schemas.openxmlformats.org/officeDocument/2006/docPropsVTypes"/>
</file>